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208915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174625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660" w:right="1800" w:hanging="3652"/>
        <w:spacing w:after="0" w:line="526" w:lineRule="auto"/>
        <w:tabs>
          <w:tab w:leader="none" w:pos="2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3" w:lineRule="exact"/>
        <w:rPr>
          <w:sz w:val="24"/>
          <w:szCs w:val="24"/>
          <w:color w:val="auto"/>
        </w:rPr>
      </w:pPr>
    </w:p>
    <w:p>
      <w:pPr>
        <w:ind w:left="3100" w:right="1800" w:hanging="3092"/>
        <w:spacing w:after="0" w:line="532" w:lineRule="auto"/>
        <w:tabs>
          <w:tab w:leader="none" w:pos="22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w:t>
      </w: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001-41711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326390</wp:posOffset>
            </wp:positionV>
            <wp:extent cx="246888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USA Rare Earth,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880" w:type="dxa"/>
            <w:vAlign w:val="bottom"/>
          </w:tcPr>
          <w:p>
            <w:pPr>
              <w:spacing w:after="0"/>
              <w:rPr>
                <w:sz w:val="23"/>
                <w:szCs w:val="23"/>
                <w:color w:val="auto"/>
              </w:rPr>
            </w:pPr>
          </w:p>
        </w:tc>
        <w:tc>
          <w:tcPr>
            <w:tcW w:w="3900" w:type="dxa"/>
            <w:vAlign w:val="bottom"/>
          </w:tcPr>
          <w:p>
            <w:pPr>
              <w:jc w:val="center"/>
              <w:ind w:left="677"/>
              <w:spacing w:after="0"/>
              <w:rPr>
                <w:sz w:val="20"/>
                <w:szCs w:val="20"/>
                <w:color w:val="auto"/>
              </w:rPr>
            </w:pPr>
            <w:r>
              <w:rPr>
                <w:rFonts w:ascii="Arial" w:cs="Arial" w:eastAsia="Arial" w:hAnsi="Arial"/>
                <w:sz w:val="20"/>
                <w:szCs w:val="20"/>
                <w:b w:val="1"/>
                <w:bCs w:val="1"/>
                <w:color w:val="auto"/>
                <w:w w:val="97"/>
              </w:rPr>
              <w:t>Delaware</w:t>
            </w:r>
          </w:p>
        </w:tc>
        <w:tc>
          <w:tcPr>
            <w:tcW w:w="5560" w:type="dxa"/>
            <w:vAlign w:val="bottom"/>
            <w:gridSpan w:val="7"/>
          </w:tcPr>
          <w:p>
            <w:pPr>
              <w:jc w:val="right"/>
              <w:ind w:right="1753"/>
              <w:spacing w:after="0"/>
              <w:rPr>
                <w:sz w:val="20"/>
                <w:szCs w:val="20"/>
                <w:color w:val="auto"/>
              </w:rPr>
            </w:pPr>
            <w:r>
              <w:rPr>
                <w:rFonts w:ascii="Arial" w:cs="Arial" w:eastAsia="Arial" w:hAnsi="Arial"/>
                <w:sz w:val="20"/>
                <w:szCs w:val="20"/>
                <w:b w:val="1"/>
                <w:bCs w:val="1"/>
                <w:color w:val="auto"/>
              </w:rPr>
              <w:t>98-1720278</w:t>
            </w:r>
          </w:p>
        </w:tc>
        <w:tc>
          <w:tcPr>
            <w:tcW w:w="900" w:type="dxa"/>
            <w:vAlign w:val="bottom"/>
          </w:tcPr>
          <w:p>
            <w:pPr>
              <w:spacing w:after="0"/>
              <w:rPr>
                <w:sz w:val="23"/>
                <w:szCs w:val="23"/>
                <w:color w:val="auto"/>
              </w:rPr>
            </w:pPr>
          </w:p>
        </w:tc>
      </w:tr>
      <w:tr>
        <w:trPr>
          <w:trHeight w:val="20"/>
        </w:trPr>
        <w:tc>
          <w:tcPr>
            <w:tcW w:w="88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80" w:type="dxa"/>
            <w:vAlign w:val="bottom"/>
          </w:tcPr>
          <w:p>
            <w:pPr>
              <w:spacing w:after="0"/>
              <w:rPr>
                <w:sz w:val="17"/>
                <w:szCs w:val="17"/>
                <w:color w:val="auto"/>
              </w:rPr>
            </w:pPr>
          </w:p>
        </w:tc>
        <w:tc>
          <w:tcPr>
            <w:tcW w:w="3900" w:type="dxa"/>
            <w:vAlign w:val="bottom"/>
          </w:tcPr>
          <w:p>
            <w:pPr>
              <w:jc w:val="center"/>
              <w:ind w:left="657"/>
              <w:spacing w:after="0"/>
              <w:rPr>
                <w:sz w:val="20"/>
                <w:szCs w:val="20"/>
                <w:color w:val="auto"/>
              </w:rPr>
            </w:pPr>
            <w:r>
              <w:rPr>
                <w:rFonts w:ascii="Arial" w:cs="Arial" w:eastAsia="Arial" w:hAnsi="Arial"/>
                <w:sz w:val="14"/>
                <w:szCs w:val="14"/>
                <w:color w:val="auto"/>
              </w:rPr>
              <w:t>(State or Other Jurisdiction of Incorporation)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
          </w:tcPr>
          <w:p>
            <w:pPr>
              <w:jc w:val="center"/>
              <w:ind w:right="1660"/>
              <w:spacing w:after="0"/>
              <w:rPr>
                <w:sz w:val="20"/>
                <w:szCs w:val="20"/>
                <w:color w:val="auto"/>
              </w:rPr>
            </w:pPr>
            <w:r>
              <w:rPr>
                <w:rFonts w:ascii="Arial" w:cs="Arial" w:eastAsia="Arial" w:hAnsi="Arial"/>
                <w:sz w:val="14"/>
                <w:szCs w:val="14"/>
                <w:color w:val="auto"/>
              </w:rPr>
              <w:t>(I.R.S. Employer Identification No.)</w:t>
            </w:r>
          </w:p>
        </w:tc>
      </w:tr>
      <w:tr>
        <w:trPr>
          <w:trHeight w:val="579"/>
        </w:trPr>
        <w:tc>
          <w:tcPr>
            <w:tcW w:w="880" w:type="dxa"/>
            <w:vAlign w:val="bottom"/>
          </w:tcPr>
          <w:p>
            <w:pPr>
              <w:spacing w:after="0"/>
              <w:rPr>
                <w:sz w:val="24"/>
                <w:szCs w:val="24"/>
                <w:color w:val="auto"/>
              </w:rPr>
            </w:pPr>
          </w:p>
        </w:tc>
        <w:tc>
          <w:tcPr>
            <w:tcW w:w="6880" w:type="dxa"/>
            <w:vAlign w:val="bottom"/>
            <w:gridSpan w:val="7"/>
          </w:tcPr>
          <w:p>
            <w:pPr>
              <w:jc w:val="center"/>
              <w:ind w:left="2517"/>
              <w:spacing w:after="0"/>
              <w:rPr>
                <w:sz w:val="20"/>
                <w:szCs w:val="20"/>
                <w:color w:val="auto"/>
              </w:rPr>
            </w:pPr>
            <w:r>
              <w:rPr>
                <w:rFonts w:ascii="Arial" w:cs="Arial" w:eastAsia="Arial" w:hAnsi="Arial"/>
                <w:sz w:val="20"/>
                <w:szCs w:val="20"/>
                <w:b w:val="1"/>
                <w:bCs w:val="1"/>
                <w:color w:val="auto"/>
                <w:w w:val="98"/>
              </w:rPr>
              <w:t>100 W. Airport Road, Stillwater, OK 74075</w:t>
            </w:r>
          </w:p>
        </w:tc>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6880" w:type="dxa"/>
            <w:vAlign w:val="bottom"/>
            <w:gridSpan w:val="7"/>
          </w:tcPr>
          <w:p>
            <w:pPr>
              <w:jc w:val="center"/>
              <w:ind w:left="2537"/>
              <w:spacing w:after="0"/>
              <w:rPr>
                <w:sz w:val="20"/>
                <w:szCs w:val="20"/>
                <w:color w:val="auto"/>
              </w:rPr>
            </w:pPr>
            <w:r>
              <w:rPr>
                <w:rFonts w:ascii="Arial" w:cs="Arial" w:eastAsia="Arial" w:hAnsi="Arial"/>
                <w:sz w:val="14"/>
                <w:szCs w:val="14"/>
                <w:color w:val="auto"/>
              </w:rPr>
              <w:t>(Address of Principal Executive Offices and Zip Code)</w:t>
            </w:r>
          </w:p>
        </w:tc>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71"/>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Arial" w:cs="Arial" w:eastAsia="Arial" w:hAnsi="Arial"/>
                <w:sz w:val="20"/>
                <w:szCs w:val="20"/>
                <w:b w:val="1"/>
                <w:bCs w:val="1"/>
                <w:color w:val="auto"/>
                <w:w w:val="99"/>
              </w:rPr>
              <w:t>(813) 867-6155</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6880" w:type="dxa"/>
            <w:vAlign w:val="bottom"/>
            <w:gridSpan w:val="7"/>
          </w:tcPr>
          <w:p>
            <w:pPr>
              <w:jc w:val="center"/>
              <w:ind w:left="2517"/>
              <w:spacing w:after="0"/>
              <w:rPr>
                <w:sz w:val="20"/>
                <w:szCs w:val="20"/>
                <w:color w:val="auto"/>
              </w:rPr>
            </w:pPr>
            <w:r>
              <w:rPr>
                <w:rFonts w:ascii="Arial" w:cs="Arial" w:eastAsia="Arial" w:hAnsi="Arial"/>
                <w:sz w:val="14"/>
                <w:szCs w:val="14"/>
                <w:color w:val="auto"/>
              </w:rPr>
              <w:t>(Registrant’s Telephone Number, Including Area Code)</w:t>
            </w:r>
          </w:p>
        </w:tc>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33"/>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4780" w:type="dxa"/>
            <w:vAlign w:val="bottom"/>
            <w:gridSpan w:val="2"/>
          </w:tcPr>
          <w:p>
            <w:pPr>
              <w:ind w:left="20"/>
              <w:spacing w:after="0"/>
              <w:rPr>
                <w:sz w:val="20"/>
                <w:szCs w:val="20"/>
                <w:color w:val="auto"/>
              </w:rPr>
            </w:pPr>
            <w:r>
              <w:rPr>
                <w:rFonts w:ascii="Arial" w:cs="Arial" w:eastAsia="Arial" w:hAnsi="Arial"/>
                <w:sz w:val="13"/>
                <w:szCs w:val="13"/>
                <w:color w:val="auto"/>
              </w:rPr>
              <w:t>Title of each class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Trading Symbol</w:t>
            </w:r>
          </w:p>
        </w:tc>
        <w:tc>
          <w:tcPr>
            <w:tcW w:w="3480" w:type="dxa"/>
            <w:vAlign w:val="bottom"/>
            <w:gridSpan w:val="2"/>
          </w:tcPr>
          <w:p>
            <w:pPr>
              <w:jc w:val="center"/>
              <w:spacing w:after="0"/>
              <w:rPr>
                <w:sz w:val="20"/>
                <w:szCs w:val="20"/>
                <w:color w:val="auto"/>
              </w:rPr>
            </w:pPr>
            <w:r>
              <w:rPr>
                <w:rFonts w:ascii="Arial" w:cs="Arial" w:eastAsia="Arial" w:hAnsi="Arial"/>
                <w:sz w:val="13"/>
                <w:szCs w:val="13"/>
                <w:color w:val="auto"/>
                <w:w w:val="96"/>
              </w:rPr>
              <w:t>Name of each exchange on which registered</w:t>
            </w:r>
          </w:p>
        </w:tc>
      </w:tr>
      <w:tr>
        <w:trPr>
          <w:trHeight w:val="28"/>
        </w:trPr>
        <w:tc>
          <w:tcPr>
            <w:tcW w:w="47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r>
      <w:tr>
        <w:trPr>
          <w:trHeight w:val="202"/>
        </w:trPr>
        <w:tc>
          <w:tcPr>
            <w:tcW w:w="478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Common Stock, par value $0.0001</w:t>
            </w:r>
          </w:p>
        </w:tc>
        <w:tc>
          <w:tcPr>
            <w:tcW w:w="7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360" w:type="dxa"/>
            <w:vAlign w:val="bottom"/>
            <w:gridSpan w:val="2"/>
            <w:shd w:val="clear" w:color="auto" w:fill="BFE4FF"/>
          </w:tcPr>
          <w:p>
            <w:pPr>
              <w:jc w:val="center"/>
              <w:ind w:right="120"/>
              <w:spacing w:after="0"/>
              <w:rPr>
                <w:sz w:val="20"/>
                <w:szCs w:val="20"/>
                <w:color w:val="auto"/>
              </w:rPr>
            </w:pPr>
            <w:r>
              <w:rPr>
                <w:rFonts w:ascii="Arial" w:cs="Arial" w:eastAsia="Arial" w:hAnsi="Arial"/>
                <w:sz w:val="14"/>
                <w:szCs w:val="14"/>
                <w:color w:val="auto"/>
              </w:rPr>
              <w:t>USAR</w:t>
            </w:r>
          </w:p>
        </w:tc>
        <w:tc>
          <w:tcPr>
            <w:tcW w:w="3480" w:type="dxa"/>
            <w:vAlign w:val="bottom"/>
            <w:gridSpan w:val="2"/>
            <w:shd w:val="clear" w:color="auto" w:fill="BFE4FF"/>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880" w:type="dxa"/>
            <w:vAlign w:val="bottom"/>
            <w:shd w:val="clear" w:color="auto" w:fill="BFE4FF"/>
          </w:tcPr>
          <w:p>
            <w:pPr>
              <w:spacing w:after="0" w:line="20" w:lineRule="exact"/>
              <w:rPr>
                <w:sz w:val="1"/>
                <w:szCs w:val="1"/>
                <w:color w:val="auto"/>
              </w:rPr>
            </w:pPr>
          </w:p>
        </w:tc>
        <w:tc>
          <w:tcPr>
            <w:tcW w:w="3900" w:type="dxa"/>
            <w:vAlign w:val="bottom"/>
            <w:shd w:val="clear" w:color="auto" w:fill="BFE4FF"/>
          </w:tcPr>
          <w:p>
            <w:pPr>
              <w:spacing w:after="0" w:line="20" w:lineRule="exact"/>
              <w:rPr>
                <w:sz w:val="1"/>
                <w:szCs w:val="1"/>
                <w:color w:val="auto"/>
              </w:rPr>
            </w:pPr>
          </w:p>
        </w:tc>
        <w:tc>
          <w:tcPr>
            <w:tcW w:w="760" w:type="dxa"/>
            <w:vAlign w:val="bottom"/>
            <w:shd w:val="clear" w:color="auto" w:fill="BFE4FF"/>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620" w:type="dxa"/>
            <w:vAlign w:val="bottom"/>
            <w:shd w:val="clear" w:color="auto" w:fill="BFE4FF"/>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1240" w:type="dxa"/>
            <w:vAlign w:val="bottom"/>
            <w:shd w:val="clear" w:color="auto" w:fill="BFE4FF"/>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2580" w:type="dxa"/>
            <w:vAlign w:val="bottom"/>
            <w:shd w:val="clear" w:color="auto" w:fill="BFE4FF"/>
          </w:tcPr>
          <w:p>
            <w:pPr>
              <w:spacing w:after="0" w:line="20" w:lineRule="exact"/>
              <w:rPr>
                <w:sz w:val="1"/>
                <w:szCs w:val="1"/>
                <w:color w:val="auto"/>
              </w:rPr>
            </w:pPr>
          </w:p>
        </w:tc>
        <w:tc>
          <w:tcPr>
            <w:tcW w:w="900" w:type="dxa"/>
            <w:vAlign w:val="bottom"/>
            <w:shd w:val="clear" w:color="auto" w:fill="BFE4FF"/>
          </w:tcPr>
          <w:p>
            <w:pPr>
              <w:spacing w:after="0" w:line="20" w:lineRule="exact"/>
              <w:rPr>
                <w:sz w:val="1"/>
                <w:szCs w:val="1"/>
                <w:color w:val="auto"/>
              </w:rPr>
            </w:pPr>
          </w:p>
        </w:tc>
      </w:tr>
    </w:tbl>
    <w:p>
      <w:pPr>
        <w:spacing w:after="0" w:line="310"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71" w:right="339" w:bottom="1440" w:gutter="0" w:footer="0" w:header="0"/>
        </w:sectPr>
      </w:pPr>
    </w:p>
    <w:p>
      <w:pPr>
        <w:spacing w:after="0" w:line="97"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6">
            <w:col w:w="3260" w:space="100"/>
            <w:col w:w="840" w:space="720"/>
            <w:col w:w="1160" w:space="80"/>
            <w:col w:w="920" w:space="720"/>
            <w:col w:w="1480" w:space="100"/>
            <w:col w:w="1860"/>
          </w:cols>
          <w:pgMar w:left="320" w:top="871" w:right="339" w:bottom="1440" w:gutter="0" w:footer="0" w:header="0"/>
          <w:type w:val="continuous"/>
        </w:sectPr>
      </w:pPr>
    </w:p>
    <w:p>
      <w:pPr>
        <w:ind w:left="28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4">
            <w:col w:w="4740" w:space="80"/>
            <w:col w:w="720" w:space="720"/>
            <w:col w:w="1920" w:space="100"/>
            <w:col w:w="2960"/>
          </w:cols>
          <w:pgMar w:left="320" w:top="871" w:right="339" w:bottom="1440" w:gutter="0" w:footer="0" w:header="0"/>
          <w:type w:val="continuous"/>
        </w:sect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tabs>
          <w:tab w:leader="none" w:pos="776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ind w:right="40"/>
        <w:spacing w:after="0" w:line="286" w:lineRule="auto"/>
        <w:rPr>
          <w:sz w:val="20"/>
          <w:szCs w:val="20"/>
          <w:color w:val="auto"/>
        </w:rPr>
      </w:pPr>
      <w:r>
        <w:rPr>
          <w:rFonts w:ascii="Arial" w:cs="Arial" w:eastAsia="Arial" w:hAnsi="Arial"/>
          <w:sz w:val="16"/>
          <w:szCs w:val="16"/>
          <w:color w:val="auto"/>
        </w:rPr>
        <w:t>As of May 7, 2026, there were 223,035,366 shares of the registrant’s Common Stock outstanding, $0.0001 par value, and 1,224,351 shares of 12% Series A Cumulative Convertible Preferred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321945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287655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“foreseeable,” “intend,” “may,” “outlook,” “plan,” “potential,” “pursue,” “should,” “subject to,” “will” or “would” or the negative of these words or other similar terms or expressions. These forward-looking statements include, but are not limited to, statements concerning the following:</w:t>
      </w:r>
    </w:p>
    <w:p>
      <w:pPr>
        <w:spacing w:after="0" w:line="208" w:lineRule="exact"/>
        <w:rPr>
          <w:sz w:val="20"/>
          <w:szCs w:val="20"/>
          <w:color w:val="auto"/>
        </w:rPr>
      </w:pPr>
    </w:p>
    <w:p>
      <w:pPr>
        <w:jc w:val="both"/>
        <w:ind w:left="660" w:right="660" w:hanging="328"/>
        <w:spacing w:after="0" w:line="262"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proposed acquisition of Serra Verde Group (“Serra Verde”), the expected timing and completion of the SVG acquisition, the expected benefits of the acquisition including anticipated financial results and synergies, the integration of Serra Verde’s operations, projections regarding Serra Verde’s business and the combined company’s business, and the combined company’s ability to achieve positive cash flow;</w:t>
      </w:r>
    </w:p>
    <w:p>
      <w:pPr>
        <w:spacing w:after="0" w:line="14" w:lineRule="exact"/>
        <w:rPr>
          <w:rFonts w:ascii="Arial" w:cs="Arial" w:eastAsia="Arial" w:hAnsi="Arial"/>
          <w:sz w:val="18"/>
          <w:szCs w:val="18"/>
          <w:color w:val="auto"/>
        </w:rPr>
      </w:pPr>
    </w:p>
    <w:p>
      <w:pPr>
        <w:ind w:left="660" w:right="660" w:hanging="328"/>
        <w:spacing w:after="0" w:line="28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consummation of the Carester SAS (“Carester”) and Texas Mineral Resources Corp. (“TMRC”) transactions and the expected benefits from these transactions;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our magnet production facility, including the timing of expected production milestones and associated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strike w:val="1"/>
        </w:rPr>
      </w:pPr>
      <w:r>
        <w:rPr>
          <w:rFonts w:ascii="Arial" w:cs="Arial" w:eastAsia="Arial" w:hAnsi="Arial"/>
          <w:sz w:val="18"/>
          <w:szCs w:val="18"/>
          <w:color w:val="auto"/>
        </w:rPr>
        <w:t>the ability to realize the benefits expected from the acquisition of Less Common Metals Ltd. (the “LCM Acquisition”);</w:t>
      </w:r>
    </w:p>
    <w:p>
      <w:pPr>
        <w:spacing w:after="0" w:line="63" w:lineRule="exact"/>
        <w:rPr>
          <w:rFonts w:ascii="Arial" w:cs="Arial" w:eastAsia="Arial" w:hAnsi="Arial"/>
          <w:sz w:val="18"/>
          <w:szCs w:val="18"/>
          <w:color w:val="auto"/>
          <w:strike w:val="1"/>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complete and realize the anticipated benefits of the Expected U.S. Government Transaction (as defined below);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magnets from our production facility once it is operational;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opportunity, size and growth rates of the rare earth element (“REE”) market and market for related magnets;</w:t>
      </w:r>
    </w:p>
    <w:p>
      <w:pPr>
        <w:spacing w:after="0" w:line="63" w:lineRule="exact"/>
        <w:rPr>
          <w:rFonts w:ascii="Arial" w:cs="Arial" w:eastAsia="Arial" w:hAnsi="Arial"/>
          <w:sz w:val="18"/>
          <w:szCs w:val="18"/>
          <w:color w:val="auto"/>
        </w:rPr>
      </w:pPr>
    </w:p>
    <w:p>
      <w:pPr>
        <w:jc w:val="both"/>
        <w:ind w:left="660" w:right="660" w:hanging="328"/>
        <w:spacing w:after="0" w:line="252"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and ability to process raw materials for magnet production, including through swarf processing and development of the Round Top Project, which consists of our operations and rights related to Round Top Mountain and the Round Top Mountain heavy rare earth element (“HREE”) metals deposit (“Round Top Project,” and together with the Stillwater Facility, our “Projects”);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and results of the Round Top Project, including timing of key milestones and associated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raise financing in the future and to comply with restrictive covenants related to long-term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financial performance of USA Rare Earth, Inc.;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retain or recruit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comply with laws and regulations applicable to its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based on information available as of the date of this Quarterly Report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 which also serve as a summary of the principal risks of an investment in our securities:</w:t>
      </w:r>
    </w:p>
    <w:p>
      <w:pPr>
        <w:spacing w:after="0" w:line="203" w:lineRule="exact"/>
        <w:rPr>
          <w:sz w:val="20"/>
          <w:szCs w:val="20"/>
          <w:color w:val="auto"/>
        </w:rPr>
      </w:pPr>
    </w:p>
    <w:p>
      <w:pPr>
        <w:jc w:val="both"/>
        <w:ind w:left="660" w:right="66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proposed transactions with Serra Verde, Carester and TMRC may not be consummated on their anticipated timelines or at all, and failure to complete the transactions could adversely affect our business, financial condition, and results of operations.</w:t>
      </w:r>
    </w:p>
    <w:p>
      <w:pPr>
        <w:spacing w:after="0" w:line="8" w:lineRule="exact"/>
        <w:rPr>
          <w:rFonts w:ascii="Arial" w:cs="Arial" w:eastAsia="Arial" w:hAnsi="Arial"/>
          <w:sz w:val="18"/>
          <w:szCs w:val="18"/>
          <w:color w:val="auto"/>
        </w:rPr>
      </w:pPr>
    </w:p>
    <w:p>
      <w:pPr>
        <w:jc w:val="both"/>
        <w:ind w:left="660" w:right="660" w:hanging="328"/>
        <w:spacing w:after="0" w:line="262"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the anticipated benefits of our proposed and prior acquisitions and transactions, including transactions with Serra Verde, Carester and TMRC, including expected synergies, financial performance, estimated earnings before interest, taxes, depreciation and amortization (“EBITDA”) and, in the case of Serra Verde, integration of operations, on the anticipated timeline or at all.</w:t>
      </w:r>
    </w:p>
    <w:p>
      <w:pPr>
        <w:spacing w:after="0" w:line="14" w:lineRule="exact"/>
        <w:rPr>
          <w:rFonts w:ascii="Arial" w:cs="Arial" w:eastAsia="Arial" w:hAnsi="Arial"/>
          <w:sz w:val="18"/>
          <w:szCs w:val="18"/>
          <w:color w:val="auto"/>
        </w:rPr>
      </w:pPr>
    </w:p>
    <w:p>
      <w:pPr>
        <w:jc w:val="both"/>
        <w:ind w:left="660" w:right="660" w:hanging="328"/>
        <w:spacing w:after="0" w:line="262"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magnet manufacturing facility in Stillwater, Oklahoma (“Stillwater Facility”) has recently been commissioned; however, we have not commenced commercial production and selling sintered neodymium-iron-boron (“NdFeB”) permanent magnets (also referred to as neo magnets), and we have no history in commercial magnet-making operations and the lack of commercial operations limits the accuracy of any forward-looking forecasts, prospects or business outlook or plans.</w:t>
      </w:r>
    </w:p>
    <w:p>
      <w:pPr>
        <w:spacing w:after="0" w:line="14" w:lineRule="exact"/>
        <w:rPr>
          <w:rFonts w:ascii="Arial" w:cs="Arial" w:eastAsia="Arial" w:hAnsi="Arial"/>
          <w:sz w:val="18"/>
          <w:szCs w:val="18"/>
          <w:color w:val="auto"/>
        </w:rPr>
      </w:pPr>
    </w:p>
    <w:p>
      <w:pPr>
        <w:jc w:val="both"/>
        <w:ind w:left="660" w:right="660" w:hanging="328"/>
        <w:spacing w:after="0" w:line="262" w:lineRule="auto"/>
        <w:tabs>
          <w:tab w:leader="none" w:pos="669" w:val="left"/>
        </w:tabs>
        <w:numPr>
          <w:ilvl w:val="0"/>
          <w:numId w:val="4"/>
        </w:numPr>
        <w:rPr>
          <w:rFonts w:ascii="Arial" w:cs="Arial" w:eastAsia="Arial" w:hAnsi="Arial"/>
          <w:sz w:val="18"/>
          <w:szCs w:val="18"/>
          <w:color w:val="auto"/>
          <w:strike w:val="1"/>
        </w:rPr>
      </w:pPr>
      <w:r>
        <w:rPr>
          <w:rFonts w:ascii="Arial" w:cs="Arial" w:eastAsia="Arial" w:hAnsi="Arial"/>
          <w:sz w:val="18"/>
          <w:szCs w:val="18"/>
          <w:color w:val="auto"/>
        </w:rPr>
        <w:t>The Round Top Project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spacing w:after="0" w:line="14" w:lineRule="exact"/>
        <w:rPr>
          <w:rFonts w:ascii="Arial" w:cs="Arial" w:eastAsia="Arial" w:hAnsi="Arial"/>
          <w:sz w:val="18"/>
          <w:szCs w:val="18"/>
          <w:color w:val="auto"/>
          <w:strike w:val="1"/>
        </w:rPr>
      </w:pPr>
    </w:p>
    <w:p>
      <w:pPr>
        <w:jc w:val="both"/>
        <w:ind w:left="660" w:right="64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time delays, unforeseen expenses, increased capital costs, and other complications in operating our business, which could delay the start of revenue-generating activities and increased revenues, and increase development costs.</w:t>
      </w:r>
    </w:p>
    <w:p>
      <w:pPr>
        <w:sectPr>
          <w:pgSz w:w="11900" w:h="16838" w:orient="portrait"/>
          <w:cols w:equalWidth="0" w:num="1">
            <w:col w:w="11240"/>
          </w:cols>
          <w:pgMar w:left="320" w:top="1412" w:right="339" w:bottom="0" w:gutter="0" w:footer="0" w:header="0"/>
        </w:sectPr>
      </w:pPr>
    </w:p>
    <w:bookmarkStart w:id="2" w:name="page3"/>
    <w:bookmarkEnd w:id="2"/>
    <w:p>
      <w:pPr>
        <w:spacing w:after="0" w:line="124" w:lineRule="exact"/>
        <w:rPr>
          <w:sz w:val="20"/>
          <w:szCs w:val="20"/>
          <w:color w:val="auto"/>
        </w:rPr>
      </w:pPr>
    </w:p>
    <w:p>
      <w:pPr>
        <w:jc w:val="both"/>
        <w:ind w:left="328" w:right="20" w:hanging="328"/>
        <w:spacing w:after="0" w:line="268"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Until our Round Top Project is capable of satisfying our feedstock needs, if ever, our business is subject to the availability of rare earth oxide and metal feedstock, in quantities and prices that allow us to develop and commercially operate our Stillwater Facility.</w:t>
      </w:r>
    </w:p>
    <w:p>
      <w:pPr>
        <w:spacing w:after="0" w:line="7" w:lineRule="exact"/>
        <w:rPr>
          <w:rFonts w:ascii="Arial" w:cs="Arial" w:eastAsia="Arial" w:hAnsi="Arial"/>
          <w:sz w:val="18"/>
          <w:szCs w:val="18"/>
          <w:color w:val="auto"/>
        </w:rPr>
      </w:pPr>
    </w:p>
    <w:p>
      <w:pPr>
        <w:jc w:val="both"/>
        <w:ind w:left="328" w:hanging="328"/>
        <w:spacing w:after="0" w:line="268"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production of neo magnets and manufacturing of strip-cast and alloy are capital-intensive and require the commitment of substantial resources; if we do not have sufficient capital or other resources necessary to provide for such production and manufacturing, it could negatively impact our business.</w:t>
      </w:r>
    </w:p>
    <w:p>
      <w:pPr>
        <w:spacing w:after="0" w:line="8"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to manufacture our products to exacting specifications in order to provide customers with a consistently high-quality product. An inability to meet customer specifications would negatively impact our business.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adversely affected by fluctuations in demand for, and prices of our products.</w:t>
      </w:r>
    </w:p>
    <w:p>
      <w:pPr>
        <w:spacing w:after="0" w:line="63"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Since our inception, we have generated negative operating cash flows and we may experience negative cash flow from operations in the future.</w:t>
      </w:r>
    </w:p>
    <w:p>
      <w:pPr>
        <w:spacing w:after="0" w:line="1"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generate positive cashflow from our expected future business operations, and we may not achieve profitability.</w:t>
      </w:r>
    </w:p>
    <w:p>
      <w:pPr>
        <w:spacing w:after="0" w:line="1"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convert current commercial discussions and/or memorandums of understanding with customers for the sale of our neo magnets and other products into definitive contracts, which may have a negative effect on our business.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business will depend, in part, on the growth of existing and emerging uses for neo magnets.</w:t>
      </w:r>
    </w:p>
    <w:p>
      <w:pPr>
        <w:spacing w:after="0" w:line="63"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the global supply of neo magnets or dumping, predatory pricing and other tactics by our competitors or state actors may adversely affect our profitability.</w:t>
      </w:r>
    </w:p>
    <w:p>
      <w:pPr>
        <w:spacing w:after="0" w:line="1"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competitive industry in a high demand and growth environment and additional manufacturing, refining and mining competitors could result in a reduction in revenue.</w:t>
      </w:r>
    </w:p>
    <w:p>
      <w:pPr>
        <w:spacing w:after="0" w:line="1" w:lineRule="exact"/>
        <w:rPr>
          <w:rFonts w:ascii="Arial" w:cs="Arial" w:eastAsia="Arial" w:hAnsi="Arial"/>
          <w:sz w:val="18"/>
          <w:szCs w:val="18"/>
          <w:color w:val="auto"/>
        </w:rPr>
      </w:pPr>
    </w:p>
    <w:p>
      <w:pPr>
        <w:jc w:val="both"/>
        <w:ind w:left="328" w:right="20" w:hanging="328"/>
        <w:spacing w:after="0" w:line="268"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Geopolitical developments or disruptions, such as changes in the political environment, export/import or environmental policy of the People’s Republic of China (“China”), the United States (“U.S.”) or other countries in which we operate or sell product or otherwise, may adversely affect our business.</w:t>
      </w:r>
    </w:p>
    <w:p>
      <w:pPr>
        <w:spacing w:after="0" w:line="8" w:lineRule="exact"/>
        <w:rPr>
          <w:rFonts w:ascii="Arial" w:cs="Arial" w:eastAsia="Arial" w:hAnsi="Arial"/>
          <w:sz w:val="18"/>
          <w:szCs w:val="18"/>
          <w:color w:val="auto"/>
        </w:rPr>
      </w:pPr>
    </w:p>
    <w:p>
      <w:pPr>
        <w:jc w:val="both"/>
        <w:ind w:left="328" w:hanging="328"/>
        <w:spacing w:after="0" w:line="268"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p>
      <w:pPr>
        <w:spacing w:after="0" w:line="8"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costs, including rising electricity and other utility costs, or limited access to raw materials may adversely affect our profitability.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Diminished access to water may adversely affect our operations.</w:t>
      </w:r>
    </w:p>
    <w:p>
      <w:pPr>
        <w:spacing w:after="0" w:line="63" w:lineRule="exact"/>
        <w:rPr>
          <w:rFonts w:ascii="Arial" w:cs="Arial" w:eastAsia="Arial" w:hAnsi="Arial"/>
          <w:sz w:val="18"/>
          <w:szCs w:val="18"/>
          <w:color w:val="auto"/>
        </w:rPr>
      </w:pPr>
    </w:p>
    <w:p>
      <w:pPr>
        <w:jc w:val="both"/>
        <w:ind w:left="328" w:hanging="328"/>
        <w:spacing w:after="0" w:line="268"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spacing w:after="0" w:line="8" w:lineRule="exact"/>
        <w:rPr>
          <w:rFonts w:ascii="Arial" w:cs="Arial" w:eastAsia="Arial" w:hAnsi="Arial"/>
          <w:sz w:val="18"/>
          <w:szCs w:val="18"/>
          <w:color w:val="auto"/>
        </w:rPr>
      </w:pPr>
    </w:p>
    <w:p>
      <w:pPr>
        <w:jc w:val="both"/>
        <w:ind w:left="328" w:hanging="328"/>
        <w:spacing w:after="0" w:line="262"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spacing w:after="0" w:line="14" w:lineRule="exact"/>
        <w:rPr>
          <w:rFonts w:ascii="Arial" w:cs="Arial" w:eastAsia="Arial" w:hAnsi="Arial"/>
          <w:sz w:val="18"/>
          <w:szCs w:val="18"/>
          <w:color w:val="auto"/>
        </w:rPr>
      </w:pPr>
    </w:p>
    <w:p>
      <w:pPr>
        <w:ind w:left="328"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key personnel for the success of our business. If we fail to retain our key personnel or if we fail to attract additional qualified personnel, we may not be able to achieve our desired level of growth and our business could suffer.</w:t>
      </w:r>
    </w:p>
    <w:p>
      <w:pPr>
        <w:spacing w:after="0" w:line="1"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 stoppages or similar difficulties, breakdown in labor relations, or a shortage of skilled technicians and engineers could significantly disrupt our operations and reduce our revenues.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developing and maintaining relationships with local communities and stakeholders.</w:t>
      </w:r>
    </w:p>
    <w:p>
      <w:pPr>
        <w:spacing w:after="0" w:line="63"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or may be subject to risks associated with acquisitions, strategic transactions and expansions.</w:t>
      </w:r>
    </w:p>
    <w:p>
      <w:pPr>
        <w:spacing w:after="0" w:line="63"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realize all of the anticipated benefits of the Less Common Metals acquisition, including the anticipated acceleration of our mine-to-magnet strategy, on the anticipated timeline, or at all.</w:t>
      </w:r>
    </w:p>
    <w:p>
      <w:pPr>
        <w:spacing w:after="0" w:line="1"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infringe, or are accused of infringing, the intellectual property rights of third parties, it may increase our costs or prevent us from being able to commercialize new products.</w:t>
      </w:r>
    </w:p>
    <w:p>
      <w:pPr>
        <w:spacing w:after="0" w:line="1" w:lineRule="exact"/>
        <w:rPr>
          <w:rFonts w:ascii="Arial" w:cs="Arial" w:eastAsia="Arial" w:hAnsi="Arial"/>
          <w:sz w:val="18"/>
          <w:szCs w:val="18"/>
          <w:color w:val="auto"/>
        </w:rPr>
      </w:pPr>
    </w:p>
    <w:p>
      <w:pPr>
        <w:ind w:left="328"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rights. If we fail to adequately enforce or defend our intellectual property rights, our business may be harmed.</w:t>
      </w:r>
    </w:p>
    <w:p>
      <w:pPr>
        <w:spacing w:after="0" w:line="1" w:lineRule="exact"/>
        <w:rPr>
          <w:rFonts w:ascii="Arial" w:cs="Arial" w:eastAsia="Arial" w:hAnsi="Arial"/>
          <w:sz w:val="18"/>
          <w:szCs w:val="18"/>
          <w:color w:val="auto"/>
        </w:rPr>
      </w:pPr>
    </w:p>
    <w:p>
      <w:pPr>
        <w:jc w:val="both"/>
        <w:ind w:left="328" w:right="20" w:hanging="328"/>
        <w:spacing w:after="0" w:line="262"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at our Projects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spacing w:after="0" w:line="14" w:lineRule="exact"/>
        <w:rPr>
          <w:rFonts w:ascii="Arial" w:cs="Arial" w:eastAsia="Arial" w:hAnsi="Arial"/>
          <w:sz w:val="18"/>
          <w:szCs w:val="18"/>
          <w:color w:val="auto"/>
        </w:rPr>
      </w:pPr>
    </w:p>
    <w:p>
      <w:pPr>
        <w:jc w:val="both"/>
        <w:ind w:left="328" w:hanging="328"/>
        <w:spacing w:after="0" w:line="268"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spacing w:after="0" w:line="8"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by the U.S., counter-tariffs by other countries and future changes in tariff policies could adversely affect our results of operations.</w:t>
      </w:r>
    </w:p>
    <w:p>
      <w:pPr>
        <w:spacing w:after="0" w:line="1"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exposed to possible litigation risks, including permit disputes (including in respect of access and/or validity of tenure), environmental claims, occupational health and safety claims and employee claims.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the risks of war, terrorism, natural disasters or public health emergencies.</w:t>
      </w:r>
    </w:p>
    <w:p>
      <w:pPr>
        <w:spacing w:after="0" w:line="63"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take federal monies, we could become subject to federal regulations. This could delay timing and increase costs.</w:t>
      </w:r>
    </w:p>
    <w:p>
      <w:pPr>
        <w:spacing w:after="0" w:line="63" w:lineRule="exact"/>
        <w:rPr>
          <w:rFonts w:ascii="Arial" w:cs="Arial" w:eastAsia="Arial" w:hAnsi="Arial"/>
          <w:sz w:val="18"/>
          <w:szCs w:val="18"/>
          <w:color w:val="auto"/>
        </w:rPr>
      </w:pPr>
    </w:p>
    <w:p>
      <w:pPr>
        <w:jc w:val="both"/>
        <w:ind w:left="328" w:hanging="328"/>
        <w:spacing w:after="0" w:line="262"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U.S. Government Transaction (as defined below) is currently contemplated pursuant to a non-binding letter of intent and remains subject to the negotiation and execution of definitive documentation, satisfaction of conditions precedent, and final government approvals, and there can be no assurance that such documentation will be executed or that the collaboration will be consummated on the anticipated terms or at all.</w:t>
      </w:r>
    </w:p>
    <w:p>
      <w:pPr>
        <w:spacing w:after="0" w:line="14" w:lineRule="exact"/>
        <w:rPr>
          <w:rFonts w:ascii="Arial" w:cs="Arial" w:eastAsia="Arial" w:hAnsi="Arial"/>
          <w:sz w:val="18"/>
          <w:szCs w:val="18"/>
          <w:color w:val="auto"/>
        </w:rPr>
      </w:pPr>
    </w:p>
    <w:p>
      <w:pPr>
        <w:ind w:left="328" w:right="20" w:hanging="328"/>
        <w:spacing w:after="0" w:line="281"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U.S. Government Transaction is expected to be funded in phases over time and is subject to our achieving milestones, and there can be no assurance that such milestones will be achieved on the expected timeline or at all.</w:t>
      </w:r>
    </w:p>
    <w:p>
      <w:pPr>
        <w:spacing w:after="0" w:line="1" w:lineRule="exact"/>
        <w:rPr>
          <w:rFonts w:ascii="Arial" w:cs="Arial" w:eastAsia="Arial" w:hAnsi="Arial"/>
          <w:sz w:val="18"/>
          <w:szCs w:val="18"/>
          <w:color w:val="auto"/>
        </w:rPr>
      </w:pPr>
    </w:p>
    <w:p>
      <w:pPr>
        <w:jc w:val="both"/>
        <w:ind w:left="328" w:hanging="328"/>
        <w:spacing w:after="0" w:line="287"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additional shares of our common stock or equity-linked securities, as a result of currently contemplated transactions or potential future transactions, could result in significant dilution to our existing stockholders and adversely</w:t>
      </w:r>
    </w:p>
    <w:p>
      <w:pPr>
        <w:sectPr>
          <w:pgSz w:w="11900" w:h="16962" w:orient="portrait"/>
          <w:cols w:equalWidth="0" w:num="1">
            <w:col w:w="10268"/>
          </w:cols>
          <w:pgMar w:left="652" w:top="121" w:right="979" w:bottom="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affect the market price of our common stock.</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factors described in “Part II, Item 1A” in this Quarterly Report.</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Additional risks and detailed information regarding factors that may cause actual results to differ materially has been and will be included in our filings with the SEC, including our most recently filed Annual Report on Form 10-K and subsequent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443230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Rare Earth, Inc. | Q1'2026 Quarterly Report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t>USA RARE EARTH,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Page No.</w:t>
            </w:r>
          </w:p>
        </w:tc>
      </w:tr>
      <w:tr>
        <w:trPr>
          <w:trHeight w:val="242"/>
        </w:trPr>
        <w:tc>
          <w:tcPr>
            <w:tcW w:w="900" w:type="dxa"/>
            <w:vAlign w:val="bottom"/>
          </w:tcPr>
          <w:p>
            <w:pPr>
              <w:spacing w:after="0"/>
              <w:rPr>
                <w:sz w:val="21"/>
                <w:szCs w:val="21"/>
                <w:color w:val="auto"/>
              </w:rPr>
            </w:pPr>
          </w:p>
        </w:tc>
        <w:tc>
          <w:tcPr>
            <w:tcW w:w="842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Pr>
          <w:p>
            <w:pPr>
              <w:spacing w:after="0"/>
              <w:rPr>
                <w:sz w:val="21"/>
                <w:szCs w:val="21"/>
                <w:color w:val="auto"/>
              </w:rPr>
            </w:pPr>
          </w:p>
        </w:tc>
      </w:tr>
      <w:tr>
        <w:trPr>
          <w:trHeight w:val="278"/>
        </w:trPr>
        <w:tc>
          <w:tcPr>
            <w:tcW w:w="900" w:type="dxa"/>
            <w:vAlign w:val="bottom"/>
          </w:tcPr>
          <w:p>
            <w:pPr>
              <w:spacing w:after="0"/>
              <w:rPr>
                <w:sz w:val="24"/>
                <w:szCs w:val="24"/>
                <w:color w:val="auto"/>
              </w:rPr>
            </w:pPr>
          </w:p>
        </w:tc>
        <w:tc>
          <w:tcPr>
            <w:tcW w:w="8420" w:type="dxa"/>
            <w:vAlign w:val="bottom"/>
          </w:tcPr>
          <w:p>
            <w:pPr>
              <w:jc w:val="center"/>
              <w:spacing w:after="0"/>
              <w:rPr>
                <w:sz w:val="20"/>
                <w:szCs w:val="20"/>
                <w:color w:val="auto"/>
              </w:rPr>
            </w:pPr>
            <w:r>
              <w:rPr>
                <w:rFonts w:ascii="Arial" w:cs="Arial" w:eastAsia="Arial" w:hAnsi="Arial"/>
                <w:sz w:val="18"/>
                <w:szCs w:val="18"/>
                <w:b w:val="1"/>
                <w:bCs w:val="1"/>
                <w:color w:val="auto"/>
                <w:w w:val="99"/>
              </w:rPr>
              <w:t>FINANCIAL INFORMATION</w:t>
            </w:r>
          </w:p>
        </w:tc>
        <w:tc>
          <w:tcPr>
            <w:tcW w:w="980" w:type="dxa"/>
            <w:vAlign w:val="bottom"/>
          </w:tcPr>
          <w:p>
            <w:pPr>
              <w:spacing w:after="0"/>
              <w:rPr>
                <w:sz w:val="24"/>
                <w:szCs w:val="24"/>
                <w:color w:val="auto"/>
              </w:rPr>
            </w:pPr>
          </w:p>
        </w:tc>
      </w:tr>
      <w:tr>
        <w:trPr>
          <w:trHeight w:val="251"/>
        </w:trPr>
        <w:tc>
          <w:tcPr>
            <w:tcW w:w="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Item 1</w:t>
            </w:r>
          </w:p>
        </w:tc>
        <w:tc>
          <w:tcPr>
            <w:tcW w:w="8420" w:type="dxa"/>
            <w:vAlign w:val="bottom"/>
            <w:shd w:val="clear" w:color="auto" w:fill="BFE4FF"/>
          </w:tcPr>
          <w:p>
            <w:pPr>
              <w:ind w:left="100"/>
              <w:spacing w:after="0"/>
              <w:rPr>
                <w:sz w:val="20"/>
                <w:szCs w:val="20"/>
                <w:color w:val="auto"/>
              </w:rPr>
            </w:pPr>
            <w:r>
              <w:rPr>
                <w:rFonts w:ascii="Arial" w:cs="Arial" w:eastAsia="Arial" w:hAnsi="Arial"/>
                <w:sz w:val="16"/>
                <w:szCs w:val="16"/>
                <w:color w:val="auto"/>
              </w:rPr>
              <w:t>Financial Statements (Unaudited)</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1</w:t>
            </w:r>
          </w:p>
        </w:tc>
      </w:tr>
      <w:tr>
        <w:trPr>
          <w:trHeight w:val="235"/>
        </w:trPr>
        <w:tc>
          <w:tcPr>
            <w:tcW w:w="900" w:type="dxa"/>
            <w:vAlign w:val="bottom"/>
          </w:tcPr>
          <w:p>
            <w:pPr>
              <w:spacing w:after="0"/>
              <w:rPr>
                <w:sz w:val="20"/>
                <w:szCs w:val="20"/>
                <w:color w:val="auto"/>
              </w:rPr>
            </w:pPr>
          </w:p>
        </w:tc>
        <w:tc>
          <w:tcPr>
            <w:tcW w:w="8420" w:type="dxa"/>
            <w:vAlign w:val="bottom"/>
          </w:tcPr>
          <w:p>
            <w:pPr>
              <w:ind w:left="260"/>
              <w:spacing w:after="0"/>
              <w:rPr>
                <w:sz w:val="20"/>
                <w:szCs w:val="20"/>
                <w:color w:val="auto"/>
              </w:rPr>
            </w:pPr>
            <w:r>
              <w:rPr>
                <w:rFonts w:ascii="Arial" w:cs="Arial" w:eastAsia="Arial" w:hAnsi="Arial"/>
                <w:sz w:val="16"/>
                <w:szCs w:val="16"/>
                <w:color w:val="auto"/>
              </w:rPr>
              <w:t>Condensed Consolidated Balance Sheets — March 31, 2026 and December 31, 2025</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23"/>
        </w:trPr>
        <w:tc>
          <w:tcPr>
            <w:tcW w:w="900" w:type="dxa"/>
            <w:vAlign w:val="bottom"/>
            <w:shd w:val="clear" w:color="auto" w:fill="BFE4FF"/>
          </w:tcPr>
          <w:p>
            <w:pPr>
              <w:spacing w:after="0"/>
              <w:rPr>
                <w:sz w:val="19"/>
                <w:szCs w:val="19"/>
                <w:color w:val="auto"/>
              </w:rPr>
            </w:pPr>
          </w:p>
        </w:tc>
        <w:tc>
          <w:tcPr>
            <w:tcW w:w="8420" w:type="dxa"/>
            <w:vAlign w:val="bottom"/>
            <w:shd w:val="clear" w:color="auto" w:fill="BFE4FF"/>
          </w:tcPr>
          <w:p>
            <w:pPr>
              <w:ind w:left="260"/>
              <w:spacing w:after="0"/>
              <w:rPr>
                <w:sz w:val="20"/>
                <w:szCs w:val="20"/>
                <w:color w:val="auto"/>
              </w:rPr>
            </w:pPr>
            <w:r>
              <w:rPr>
                <w:rFonts w:ascii="Arial" w:cs="Arial" w:eastAsia="Arial" w:hAnsi="Arial"/>
                <w:sz w:val="16"/>
                <w:szCs w:val="16"/>
                <w:color w:val="auto"/>
              </w:rPr>
              <w:t>Condensed Consolidated Statements of Operations and Comprehensive (Loss) Income — Three Months Ended</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2</w:t>
            </w:r>
          </w:p>
        </w:tc>
      </w:tr>
      <w:tr>
        <w:trPr>
          <w:trHeight w:val="230"/>
        </w:trPr>
        <w:tc>
          <w:tcPr>
            <w:tcW w:w="900" w:type="dxa"/>
            <w:vAlign w:val="bottom"/>
            <w:shd w:val="clear" w:color="auto" w:fill="BFE4FF"/>
          </w:tcPr>
          <w:p>
            <w:pPr>
              <w:spacing w:after="0"/>
              <w:rPr>
                <w:sz w:val="20"/>
                <w:szCs w:val="20"/>
                <w:color w:val="auto"/>
              </w:rPr>
            </w:pPr>
          </w:p>
        </w:tc>
        <w:tc>
          <w:tcPr>
            <w:tcW w:w="8420" w:type="dxa"/>
            <w:vAlign w:val="bottom"/>
            <w:shd w:val="clear" w:color="auto" w:fill="BFE4FF"/>
          </w:tcPr>
          <w:p>
            <w:pPr>
              <w:ind w:left="260"/>
              <w:spacing w:after="0"/>
              <w:rPr>
                <w:sz w:val="20"/>
                <w:szCs w:val="20"/>
                <w:color w:val="auto"/>
              </w:rPr>
            </w:pPr>
            <w:r>
              <w:rPr>
                <w:rFonts w:ascii="Arial" w:cs="Arial" w:eastAsia="Arial" w:hAnsi="Arial"/>
                <w:sz w:val="16"/>
                <w:szCs w:val="16"/>
                <w:color w:val="auto"/>
              </w:rPr>
              <w:t>March 31, 2026 and 2025</w:t>
            </w:r>
          </w:p>
        </w:tc>
        <w:tc>
          <w:tcPr>
            <w:tcW w:w="980" w:type="dxa"/>
            <w:vAlign w:val="bottom"/>
            <w:shd w:val="clear" w:color="auto" w:fill="BFE4FF"/>
          </w:tcPr>
          <w:p>
            <w:pPr>
              <w:spacing w:after="0"/>
              <w:rPr>
                <w:sz w:val="20"/>
                <w:szCs w:val="20"/>
                <w:color w:val="auto"/>
              </w:rPr>
            </w:pPr>
          </w:p>
        </w:tc>
      </w:tr>
      <w:tr>
        <w:trPr>
          <w:trHeight w:val="235"/>
        </w:trPr>
        <w:tc>
          <w:tcPr>
            <w:tcW w:w="900" w:type="dxa"/>
            <w:vAlign w:val="bottom"/>
          </w:tcPr>
          <w:p>
            <w:pPr>
              <w:spacing w:after="0"/>
              <w:rPr>
                <w:sz w:val="20"/>
                <w:szCs w:val="20"/>
                <w:color w:val="auto"/>
              </w:rPr>
            </w:pPr>
          </w:p>
        </w:tc>
        <w:tc>
          <w:tcPr>
            <w:tcW w:w="8420" w:type="dxa"/>
            <w:vAlign w:val="bottom"/>
          </w:tcPr>
          <w:p>
            <w:pPr>
              <w:ind w:left="260"/>
              <w:spacing w:after="0"/>
              <w:rPr>
                <w:sz w:val="20"/>
                <w:szCs w:val="20"/>
                <w:color w:val="auto"/>
              </w:rPr>
            </w:pPr>
            <w:r>
              <w:rPr>
                <w:rFonts w:ascii="Arial" w:cs="Arial" w:eastAsia="Arial" w:hAnsi="Arial"/>
                <w:sz w:val="16"/>
                <w:szCs w:val="16"/>
                <w:color w:val="auto"/>
              </w:rPr>
              <w:t>Condensed Consolidated Statements of Mezzanine Equity — Three Months Ended March 31, 2026 and 2025</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23"/>
        </w:trPr>
        <w:tc>
          <w:tcPr>
            <w:tcW w:w="900" w:type="dxa"/>
            <w:vAlign w:val="bottom"/>
            <w:shd w:val="clear" w:color="auto" w:fill="BFE4FF"/>
          </w:tcPr>
          <w:p>
            <w:pPr>
              <w:spacing w:after="0"/>
              <w:rPr>
                <w:sz w:val="19"/>
                <w:szCs w:val="19"/>
                <w:color w:val="auto"/>
              </w:rPr>
            </w:pPr>
          </w:p>
        </w:tc>
        <w:tc>
          <w:tcPr>
            <w:tcW w:w="8420" w:type="dxa"/>
            <w:vAlign w:val="bottom"/>
            <w:shd w:val="clear" w:color="auto" w:fill="BFE4FF"/>
          </w:tcPr>
          <w:p>
            <w:pPr>
              <w:ind w:left="260"/>
              <w:spacing w:after="0"/>
              <w:rPr>
                <w:sz w:val="20"/>
                <w:szCs w:val="20"/>
                <w:color w:val="auto"/>
              </w:rPr>
            </w:pPr>
            <w:r>
              <w:rPr>
                <w:rFonts w:ascii="Arial" w:cs="Arial" w:eastAsia="Arial" w:hAnsi="Arial"/>
                <w:sz w:val="16"/>
                <w:szCs w:val="16"/>
                <w:color w:val="auto"/>
              </w:rPr>
              <w:t>Condensed Consolidated Statements of Stockholders’ Equity (Deficit) — Three Months Ended March 31, 2026</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4</w:t>
            </w:r>
          </w:p>
        </w:tc>
      </w:tr>
      <w:tr>
        <w:trPr>
          <w:trHeight w:val="230"/>
        </w:trPr>
        <w:tc>
          <w:tcPr>
            <w:tcW w:w="900" w:type="dxa"/>
            <w:vAlign w:val="bottom"/>
            <w:shd w:val="clear" w:color="auto" w:fill="BFE4FF"/>
          </w:tcPr>
          <w:p>
            <w:pPr>
              <w:spacing w:after="0"/>
              <w:rPr>
                <w:sz w:val="20"/>
                <w:szCs w:val="20"/>
                <w:color w:val="auto"/>
              </w:rPr>
            </w:pPr>
          </w:p>
        </w:tc>
        <w:tc>
          <w:tcPr>
            <w:tcW w:w="8420" w:type="dxa"/>
            <w:vAlign w:val="bottom"/>
            <w:shd w:val="clear" w:color="auto" w:fill="BFE4FF"/>
          </w:tcPr>
          <w:p>
            <w:pPr>
              <w:ind w:left="260"/>
              <w:spacing w:after="0"/>
              <w:rPr>
                <w:sz w:val="20"/>
                <w:szCs w:val="20"/>
                <w:color w:val="auto"/>
              </w:rPr>
            </w:pPr>
            <w:r>
              <w:rPr>
                <w:rFonts w:ascii="Arial" w:cs="Arial" w:eastAsia="Arial" w:hAnsi="Arial"/>
                <w:sz w:val="16"/>
                <w:szCs w:val="16"/>
                <w:color w:val="auto"/>
              </w:rPr>
              <w:t>and 2025</w:t>
            </w:r>
          </w:p>
        </w:tc>
        <w:tc>
          <w:tcPr>
            <w:tcW w:w="980" w:type="dxa"/>
            <w:vAlign w:val="bottom"/>
            <w:shd w:val="clear" w:color="auto" w:fill="BFE4FF"/>
          </w:tcPr>
          <w:p>
            <w:pPr>
              <w:spacing w:after="0"/>
              <w:rPr>
                <w:sz w:val="20"/>
                <w:szCs w:val="20"/>
                <w:color w:val="auto"/>
              </w:rPr>
            </w:pPr>
          </w:p>
        </w:tc>
      </w:tr>
      <w:tr>
        <w:trPr>
          <w:trHeight w:val="235"/>
        </w:trPr>
        <w:tc>
          <w:tcPr>
            <w:tcW w:w="900" w:type="dxa"/>
            <w:vAlign w:val="bottom"/>
          </w:tcPr>
          <w:p>
            <w:pPr>
              <w:spacing w:after="0"/>
              <w:rPr>
                <w:sz w:val="20"/>
                <w:szCs w:val="20"/>
                <w:color w:val="auto"/>
              </w:rPr>
            </w:pPr>
          </w:p>
        </w:tc>
        <w:tc>
          <w:tcPr>
            <w:tcW w:w="8420" w:type="dxa"/>
            <w:vAlign w:val="bottom"/>
          </w:tcPr>
          <w:p>
            <w:pPr>
              <w:ind w:left="260"/>
              <w:spacing w:after="0"/>
              <w:rPr>
                <w:sz w:val="20"/>
                <w:szCs w:val="20"/>
                <w:color w:val="auto"/>
              </w:rPr>
            </w:pPr>
            <w:r>
              <w:rPr>
                <w:rFonts w:ascii="Arial" w:cs="Arial" w:eastAsia="Arial" w:hAnsi="Arial"/>
                <w:sz w:val="16"/>
                <w:szCs w:val="16"/>
                <w:color w:val="auto"/>
              </w:rPr>
              <w:t>Condensed Consolidated Statements of Cash Flows — Three Months Ended March 31, 2026 and 2025</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251"/>
        </w:trPr>
        <w:tc>
          <w:tcPr>
            <w:tcW w:w="900" w:type="dxa"/>
            <w:vAlign w:val="bottom"/>
            <w:shd w:val="clear" w:color="auto" w:fill="BFE4FF"/>
          </w:tcPr>
          <w:p>
            <w:pPr>
              <w:spacing w:after="0"/>
              <w:rPr>
                <w:sz w:val="21"/>
                <w:szCs w:val="21"/>
                <w:color w:val="auto"/>
              </w:rPr>
            </w:pPr>
          </w:p>
        </w:tc>
        <w:tc>
          <w:tcPr>
            <w:tcW w:w="8420" w:type="dxa"/>
            <w:vAlign w:val="bottom"/>
            <w:shd w:val="clear" w:color="auto" w:fill="BFE4FF"/>
          </w:tcPr>
          <w:p>
            <w:pPr>
              <w:ind w:left="260"/>
              <w:spacing w:after="0"/>
              <w:rPr>
                <w:sz w:val="20"/>
                <w:szCs w:val="20"/>
                <w:color w:val="auto"/>
              </w:rPr>
            </w:pPr>
            <w:r>
              <w:rPr>
                <w:rFonts w:ascii="Arial" w:cs="Arial" w:eastAsia="Arial" w:hAnsi="Arial"/>
                <w:sz w:val="16"/>
                <w:szCs w:val="16"/>
                <w:color w:val="auto"/>
              </w:rPr>
              <w:t>Notes to Condensed Consolidated Financial Statements</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6</w:t>
            </w:r>
          </w:p>
        </w:tc>
      </w:tr>
      <w:tr>
        <w:trPr>
          <w:trHeight w:val="235"/>
        </w:trPr>
        <w:tc>
          <w:tcPr>
            <w:tcW w:w="900" w:type="dxa"/>
            <w:vAlign w:val="bottom"/>
          </w:tcPr>
          <w:p>
            <w:pPr>
              <w:ind w:left="20"/>
              <w:spacing w:after="0"/>
              <w:rPr>
                <w:sz w:val="20"/>
                <w:szCs w:val="20"/>
                <w:color w:val="auto"/>
              </w:rPr>
            </w:pPr>
            <w:r>
              <w:rPr>
                <w:rFonts w:ascii="Arial" w:cs="Arial" w:eastAsia="Arial" w:hAnsi="Arial"/>
                <w:sz w:val="16"/>
                <w:szCs w:val="16"/>
                <w:color w:val="auto"/>
              </w:rPr>
              <w:t>Item 2</w:t>
            </w:r>
          </w:p>
        </w:tc>
        <w:tc>
          <w:tcPr>
            <w:tcW w:w="8420" w:type="dxa"/>
            <w:vAlign w:val="bottom"/>
          </w:tcPr>
          <w:p>
            <w:pPr>
              <w:ind w:left="1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980" w:type="dxa"/>
            <w:vAlign w:val="bottom"/>
          </w:tcPr>
          <w:p>
            <w:pPr>
              <w:jc w:val="center"/>
              <w:spacing w:after="0"/>
              <w:rPr>
                <w:sz w:val="20"/>
                <w:szCs w:val="20"/>
                <w:color w:val="auto"/>
              </w:rPr>
            </w:pPr>
            <w:r>
              <w:rPr>
                <w:rFonts w:ascii="Arial" w:cs="Arial" w:eastAsia="Arial" w:hAnsi="Arial"/>
                <w:sz w:val="16"/>
                <w:szCs w:val="16"/>
                <w:color w:val="auto"/>
              </w:rPr>
              <w:t>24</w:t>
            </w:r>
          </w:p>
        </w:tc>
      </w:tr>
      <w:tr>
        <w:trPr>
          <w:trHeight w:val="251"/>
        </w:trPr>
        <w:tc>
          <w:tcPr>
            <w:tcW w:w="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Item 3</w:t>
            </w:r>
          </w:p>
        </w:tc>
        <w:tc>
          <w:tcPr>
            <w:tcW w:w="8420" w:type="dxa"/>
            <w:vAlign w:val="bottom"/>
            <w:shd w:val="clear" w:color="auto" w:fill="BFE4FF"/>
          </w:tcPr>
          <w:p>
            <w:pPr>
              <w:ind w:left="100"/>
              <w:spacing w:after="0"/>
              <w:rPr>
                <w:sz w:val="20"/>
                <w:szCs w:val="20"/>
                <w:color w:val="auto"/>
              </w:rPr>
            </w:pPr>
            <w:r>
              <w:rPr>
                <w:rFonts w:ascii="Arial" w:cs="Arial" w:eastAsia="Arial" w:hAnsi="Arial"/>
                <w:sz w:val="16"/>
                <w:szCs w:val="16"/>
                <w:color w:val="auto"/>
              </w:rPr>
              <w:t>Quantitative and Qualitative Disclosures About Market Risk</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34</w:t>
            </w:r>
          </w:p>
        </w:tc>
      </w:tr>
      <w:tr>
        <w:trPr>
          <w:trHeight w:val="228"/>
        </w:trPr>
        <w:tc>
          <w:tcPr>
            <w:tcW w:w="900" w:type="dxa"/>
            <w:vAlign w:val="bottom"/>
          </w:tcPr>
          <w:p>
            <w:pPr>
              <w:ind w:left="20"/>
              <w:spacing w:after="0"/>
              <w:rPr>
                <w:sz w:val="20"/>
                <w:szCs w:val="20"/>
                <w:color w:val="auto"/>
              </w:rPr>
            </w:pPr>
            <w:r>
              <w:rPr>
                <w:rFonts w:ascii="Arial" w:cs="Arial" w:eastAsia="Arial" w:hAnsi="Arial"/>
                <w:sz w:val="16"/>
                <w:szCs w:val="16"/>
                <w:color w:val="auto"/>
              </w:rPr>
              <w:t>Item 4</w:t>
            </w:r>
          </w:p>
        </w:tc>
        <w:tc>
          <w:tcPr>
            <w:tcW w:w="8420" w:type="dxa"/>
            <w:vAlign w:val="bottom"/>
          </w:tcPr>
          <w:p>
            <w:pPr>
              <w:ind w:left="100"/>
              <w:spacing w:after="0"/>
              <w:rPr>
                <w:sz w:val="20"/>
                <w:szCs w:val="20"/>
                <w:color w:val="auto"/>
              </w:rPr>
            </w:pPr>
            <w:r>
              <w:rPr>
                <w:rFonts w:ascii="Arial" w:cs="Arial" w:eastAsia="Arial" w:hAnsi="Arial"/>
                <w:sz w:val="16"/>
                <w:szCs w:val="16"/>
                <w:color w:val="auto"/>
              </w:rPr>
              <w:t>Controls and Procedures</w:t>
            </w:r>
          </w:p>
        </w:tc>
        <w:tc>
          <w:tcPr>
            <w:tcW w:w="980" w:type="dxa"/>
            <w:vAlign w:val="bottom"/>
          </w:tcPr>
          <w:p>
            <w:pPr>
              <w:jc w:val="center"/>
              <w:spacing w:after="0"/>
              <w:rPr>
                <w:sz w:val="20"/>
                <w:szCs w:val="20"/>
                <w:color w:val="auto"/>
              </w:rPr>
            </w:pPr>
            <w:r>
              <w:rPr>
                <w:rFonts w:ascii="Arial" w:cs="Arial" w:eastAsia="Arial" w:hAnsi="Arial"/>
                <w:sz w:val="16"/>
                <w:szCs w:val="16"/>
                <w:color w:val="auto"/>
              </w:rPr>
              <w:t>34</w:t>
            </w:r>
          </w:p>
        </w:tc>
      </w:tr>
      <w:tr>
        <w:trPr>
          <w:trHeight w:val="540"/>
        </w:trPr>
        <w:tc>
          <w:tcPr>
            <w:tcW w:w="900" w:type="dxa"/>
            <w:vAlign w:val="bottom"/>
          </w:tcPr>
          <w:p>
            <w:pPr>
              <w:spacing w:after="0"/>
              <w:rPr>
                <w:sz w:val="24"/>
                <w:szCs w:val="24"/>
                <w:color w:val="auto"/>
              </w:rPr>
            </w:pPr>
          </w:p>
        </w:tc>
        <w:tc>
          <w:tcPr>
            <w:tcW w:w="8420" w:type="dxa"/>
            <w:vAlign w:val="bottom"/>
          </w:tcPr>
          <w:p>
            <w:pPr>
              <w:jc w:val="center"/>
              <w:spacing w:after="0"/>
              <w:rPr>
                <w:sz w:val="20"/>
                <w:szCs w:val="20"/>
                <w:color w:val="auto"/>
              </w:rPr>
            </w:pPr>
            <w:r>
              <w:rPr>
                <w:rFonts w:ascii="Arial" w:cs="Arial" w:eastAsia="Arial" w:hAnsi="Arial"/>
                <w:sz w:val="18"/>
                <w:szCs w:val="18"/>
                <w:b w:val="1"/>
                <w:bCs w:val="1"/>
                <w:color w:val="auto"/>
                <w:w w:val="96"/>
              </w:rPr>
              <w:t>PART II</w:t>
            </w:r>
          </w:p>
        </w:tc>
        <w:tc>
          <w:tcPr>
            <w:tcW w:w="980" w:type="dxa"/>
            <w:vAlign w:val="bottom"/>
          </w:tcPr>
          <w:p>
            <w:pPr>
              <w:spacing w:after="0"/>
              <w:rPr>
                <w:sz w:val="24"/>
                <w:szCs w:val="24"/>
                <w:color w:val="auto"/>
              </w:rPr>
            </w:pPr>
          </w:p>
        </w:tc>
      </w:tr>
      <w:tr>
        <w:trPr>
          <w:trHeight w:val="278"/>
        </w:trPr>
        <w:tc>
          <w:tcPr>
            <w:tcW w:w="900" w:type="dxa"/>
            <w:vAlign w:val="bottom"/>
          </w:tcPr>
          <w:p>
            <w:pPr>
              <w:spacing w:after="0"/>
              <w:rPr>
                <w:sz w:val="24"/>
                <w:szCs w:val="24"/>
                <w:color w:val="auto"/>
              </w:rPr>
            </w:pPr>
          </w:p>
        </w:tc>
        <w:tc>
          <w:tcPr>
            <w:tcW w:w="8420" w:type="dxa"/>
            <w:vAlign w:val="bottom"/>
          </w:tcPr>
          <w:p>
            <w:pPr>
              <w:jc w:val="center"/>
              <w:spacing w:after="0"/>
              <w:rPr>
                <w:sz w:val="20"/>
                <w:szCs w:val="20"/>
                <w:color w:val="auto"/>
              </w:rPr>
            </w:pPr>
            <w:r>
              <w:rPr>
                <w:rFonts w:ascii="Arial" w:cs="Arial" w:eastAsia="Arial" w:hAnsi="Arial"/>
                <w:sz w:val="18"/>
                <w:szCs w:val="18"/>
                <w:b w:val="1"/>
                <w:bCs w:val="1"/>
                <w:color w:val="auto"/>
                <w:w w:val="99"/>
              </w:rPr>
              <w:t>OTHER INFORMATION</w:t>
            </w:r>
          </w:p>
        </w:tc>
        <w:tc>
          <w:tcPr>
            <w:tcW w:w="980" w:type="dxa"/>
            <w:vAlign w:val="bottom"/>
          </w:tcPr>
          <w:p>
            <w:pPr>
              <w:spacing w:after="0"/>
              <w:rPr>
                <w:sz w:val="24"/>
                <w:szCs w:val="24"/>
                <w:color w:val="auto"/>
              </w:rPr>
            </w:pPr>
          </w:p>
        </w:tc>
      </w:tr>
      <w:tr>
        <w:trPr>
          <w:trHeight w:val="251"/>
        </w:trPr>
        <w:tc>
          <w:tcPr>
            <w:tcW w:w="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Item 1</w:t>
            </w:r>
          </w:p>
        </w:tc>
        <w:tc>
          <w:tcPr>
            <w:tcW w:w="8420" w:type="dxa"/>
            <w:vAlign w:val="bottom"/>
            <w:shd w:val="clear" w:color="auto" w:fill="BFE4FF"/>
          </w:tcPr>
          <w:p>
            <w:pPr>
              <w:ind w:left="100"/>
              <w:spacing w:after="0"/>
              <w:rPr>
                <w:sz w:val="20"/>
                <w:szCs w:val="20"/>
                <w:color w:val="auto"/>
              </w:rPr>
            </w:pPr>
            <w:r>
              <w:rPr>
                <w:rFonts w:ascii="Arial" w:cs="Arial" w:eastAsia="Arial" w:hAnsi="Arial"/>
                <w:sz w:val="16"/>
                <w:szCs w:val="16"/>
                <w:color w:val="auto"/>
              </w:rPr>
              <w:t>Legal Proceedings</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35</w:t>
            </w:r>
          </w:p>
        </w:tc>
      </w:tr>
      <w:tr>
        <w:trPr>
          <w:trHeight w:val="235"/>
        </w:trPr>
        <w:tc>
          <w:tcPr>
            <w:tcW w:w="900" w:type="dxa"/>
            <w:vAlign w:val="bottom"/>
          </w:tcPr>
          <w:p>
            <w:pPr>
              <w:ind w:left="20"/>
              <w:spacing w:after="0"/>
              <w:rPr>
                <w:sz w:val="20"/>
                <w:szCs w:val="20"/>
                <w:color w:val="auto"/>
              </w:rPr>
            </w:pPr>
            <w:r>
              <w:rPr>
                <w:rFonts w:ascii="Arial" w:cs="Arial" w:eastAsia="Arial" w:hAnsi="Arial"/>
                <w:sz w:val="16"/>
                <w:szCs w:val="16"/>
                <w:color w:val="auto"/>
              </w:rPr>
              <w:t>Item 1A</w:t>
            </w:r>
          </w:p>
        </w:tc>
        <w:tc>
          <w:tcPr>
            <w:tcW w:w="8420" w:type="dxa"/>
            <w:vAlign w:val="bottom"/>
          </w:tcPr>
          <w:p>
            <w:pPr>
              <w:ind w:left="100"/>
              <w:spacing w:after="0"/>
              <w:rPr>
                <w:sz w:val="20"/>
                <w:szCs w:val="20"/>
                <w:color w:val="auto"/>
              </w:rPr>
            </w:pPr>
            <w:r>
              <w:rPr>
                <w:rFonts w:ascii="Arial" w:cs="Arial" w:eastAsia="Arial" w:hAnsi="Arial"/>
                <w:sz w:val="16"/>
                <w:szCs w:val="16"/>
                <w:color w:val="auto"/>
              </w:rPr>
              <w:t>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35</w:t>
            </w:r>
          </w:p>
        </w:tc>
      </w:tr>
      <w:tr>
        <w:trPr>
          <w:trHeight w:val="251"/>
        </w:trPr>
        <w:tc>
          <w:tcPr>
            <w:tcW w:w="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Item 2</w:t>
            </w:r>
          </w:p>
        </w:tc>
        <w:tc>
          <w:tcPr>
            <w:tcW w:w="8420" w:type="dxa"/>
            <w:vAlign w:val="bottom"/>
            <w:shd w:val="clear" w:color="auto" w:fill="BFE4FF"/>
          </w:tcPr>
          <w:p>
            <w:pPr>
              <w:ind w:left="100"/>
              <w:spacing w:after="0"/>
              <w:rPr>
                <w:sz w:val="20"/>
                <w:szCs w:val="20"/>
                <w:color w:val="auto"/>
              </w:rPr>
            </w:pPr>
            <w:r>
              <w:rPr>
                <w:rFonts w:ascii="Arial" w:cs="Arial" w:eastAsia="Arial" w:hAnsi="Arial"/>
                <w:sz w:val="16"/>
                <w:szCs w:val="16"/>
                <w:color w:val="auto"/>
              </w:rPr>
              <w:t>Unregistered Sales of Equity Securities and Use of Proceeds</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35</w:t>
            </w:r>
          </w:p>
        </w:tc>
      </w:tr>
      <w:tr>
        <w:trPr>
          <w:trHeight w:val="235"/>
        </w:trPr>
        <w:tc>
          <w:tcPr>
            <w:tcW w:w="900" w:type="dxa"/>
            <w:vAlign w:val="bottom"/>
          </w:tcPr>
          <w:p>
            <w:pPr>
              <w:ind w:left="20"/>
              <w:spacing w:after="0"/>
              <w:rPr>
                <w:sz w:val="20"/>
                <w:szCs w:val="20"/>
                <w:color w:val="auto"/>
              </w:rPr>
            </w:pPr>
            <w:r>
              <w:rPr>
                <w:rFonts w:ascii="Arial" w:cs="Arial" w:eastAsia="Arial" w:hAnsi="Arial"/>
                <w:sz w:val="16"/>
                <w:szCs w:val="16"/>
                <w:color w:val="auto"/>
              </w:rPr>
              <w:t>Item 3</w:t>
            </w:r>
          </w:p>
        </w:tc>
        <w:tc>
          <w:tcPr>
            <w:tcW w:w="8420" w:type="dxa"/>
            <w:vAlign w:val="bottom"/>
          </w:tcPr>
          <w:p>
            <w:pPr>
              <w:ind w:left="100"/>
              <w:spacing w:after="0"/>
              <w:rPr>
                <w:sz w:val="20"/>
                <w:szCs w:val="20"/>
                <w:color w:val="auto"/>
              </w:rPr>
            </w:pPr>
            <w:r>
              <w:rPr>
                <w:rFonts w:ascii="Arial" w:cs="Arial" w:eastAsia="Arial" w:hAnsi="Arial"/>
                <w:sz w:val="16"/>
                <w:szCs w:val="16"/>
                <w:color w:val="auto"/>
              </w:rPr>
              <w:t>Defaults Upon Senior Securities</w:t>
            </w:r>
          </w:p>
        </w:tc>
        <w:tc>
          <w:tcPr>
            <w:tcW w:w="980" w:type="dxa"/>
            <w:vAlign w:val="bottom"/>
          </w:tcPr>
          <w:p>
            <w:pPr>
              <w:jc w:val="center"/>
              <w:spacing w:after="0"/>
              <w:rPr>
                <w:sz w:val="20"/>
                <w:szCs w:val="20"/>
                <w:color w:val="auto"/>
              </w:rPr>
            </w:pPr>
            <w:r>
              <w:rPr>
                <w:rFonts w:ascii="Arial" w:cs="Arial" w:eastAsia="Arial" w:hAnsi="Arial"/>
                <w:sz w:val="16"/>
                <w:szCs w:val="16"/>
                <w:color w:val="auto"/>
              </w:rPr>
              <w:t>35</w:t>
            </w:r>
          </w:p>
        </w:tc>
      </w:tr>
      <w:tr>
        <w:trPr>
          <w:trHeight w:val="251"/>
        </w:trPr>
        <w:tc>
          <w:tcPr>
            <w:tcW w:w="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Item 4</w:t>
            </w:r>
          </w:p>
        </w:tc>
        <w:tc>
          <w:tcPr>
            <w:tcW w:w="8420" w:type="dxa"/>
            <w:vAlign w:val="bottom"/>
            <w:shd w:val="clear" w:color="auto" w:fill="BFE4FF"/>
          </w:tcPr>
          <w:p>
            <w:pPr>
              <w:ind w:left="100"/>
              <w:spacing w:after="0"/>
              <w:rPr>
                <w:sz w:val="20"/>
                <w:szCs w:val="20"/>
                <w:color w:val="auto"/>
              </w:rPr>
            </w:pPr>
            <w:r>
              <w:rPr>
                <w:rFonts w:ascii="Arial" w:cs="Arial" w:eastAsia="Arial" w:hAnsi="Arial"/>
                <w:sz w:val="16"/>
                <w:szCs w:val="16"/>
                <w:color w:val="auto"/>
              </w:rPr>
              <w:t>Mine Safety Disclosures</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35</w:t>
            </w:r>
          </w:p>
        </w:tc>
      </w:tr>
      <w:tr>
        <w:trPr>
          <w:trHeight w:val="235"/>
        </w:trPr>
        <w:tc>
          <w:tcPr>
            <w:tcW w:w="900" w:type="dxa"/>
            <w:vAlign w:val="bottom"/>
          </w:tcPr>
          <w:p>
            <w:pPr>
              <w:ind w:left="20"/>
              <w:spacing w:after="0"/>
              <w:rPr>
                <w:sz w:val="20"/>
                <w:szCs w:val="20"/>
                <w:color w:val="auto"/>
              </w:rPr>
            </w:pPr>
            <w:r>
              <w:rPr>
                <w:rFonts w:ascii="Arial" w:cs="Arial" w:eastAsia="Arial" w:hAnsi="Arial"/>
                <w:sz w:val="16"/>
                <w:szCs w:val="16"/>
                <w:color w:val="auto"/>
              </w:rPr>
              <w:t>Item 5</w:t>
            </w:r>
          </w:p>
        </w:tc>
        <w:tc>
          <w:tcPr>
            <w:tcW w:w="8420" w:type="dxa"/>
            <w:vAlign w:val="bottom"/>
          </w:tcPr>
          <w:p>
            <w:pPr>
              <w:ind w:left="100"/>
              <w:spacing w:after="0"/>
              <w:rPr>
                <w:sz w:val="20"/>
                <w:szCs w:val="20"/>
                <w:color w:val="auto"/>
              </w:rPr>
            </w:pPr>
            <w:r>
              <w:rPr>
                <w:rFonts w:ascii="Arial" w:cs="Arial" w:eastAsia="Arial" w:hAnsi="Arial"/>
                <w:sz w:val="16"/>
                <w:szCs w:val="16"/>
                <w:color w:val="auto"/>
              </w:rPr>
              <w:t>Other Information</w:t>
            </w:r>
          </w:p>
        </w:tc>
        <w:tc>
          <w:tcPr>
            <w:tcW w:w="980" w:type="dxa"/>
            <w:vAlign w:val="bottom"/>
          </w:tcPr>
          <w:p>
            <w:pPr>
              <w:jc w:val="center"/>
              <w:spacing w:after="0"/>
              <w:rPr>
                <w:sz w:val="20"/>
                <w:szCs w:val="20"/>
                <w:color w:val="auto"/>
              </w:rPr>
            </w:pPr>
            <w:r>
              <w:rPr>
                <w:rFonts w:ascii="Arial" w:cs="Arial" w:eastAsia="Arial" w:hAnsi="Arial"/>
                <w:sz w:val="16"/>
                <w:szCs w:val="16"/>
                <w:color w:val="auto"/>
              </w:rPr>
              <w:t>35</w:t>
            </w:r>
          </w:p>
        </w:tc>
      </w:tr>
      <w:tr>
        <w:trPr>
          <w:trHeight w:val="251"/>
        </w:trPr>
        <w:tc>
          <w:tcPr>
            <w:tcW w:w="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Item 6</w:t>
            </w:r>
          </w:p>
        </w:tc>
        <w:tc>
          <w:tcPr>
            <w:tcW w:w="8420" w:type="dxa"/>
            <w:vAlign w:val="bottom"/>
            <w:shd w:val="clear" w:color="auto" w:fill="BFE4FF"/>
          </w:tcPr>
          <w:p>
            <w:pPr>
              <w:ind w:left="100"/>
              <w:spacing w:after="0"/>
              <w:rPr>
                <w:sz w:val="20"/>
                <w:szCs w:val="20"/>
                <w:color w:val="auto"/>
              </w:rPr>
            </w:pPr>
            <w:r>
              <w:rPr>
                <w:rFonts w:ascii="Arial" w:cs="Arial" w:eastAsia="Arial" w:hAnsi="Arial"/>
                <w:sz w:val="16"/>
                <w:szCs w:val="16"/>
                <w:color w:val="auto"/>
              </w:rPr>
              <w:t>Exhibits</w:t>
            </w:r>
          </w:p>
        </w:tc>
        <w:tc>
          <w:tcPr>
            <w:tcW w:w="9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36</w:t>
            </w:r>
          </w:p>
        </w:tc>
      </w:tr>
      <w:tr>
        <w:trPr>
          <w:trHeight w:val="322"/>
        </w:trPr>
        <w:tc>
          <w:tcPr>
            <w:tcW w:w="900" w:type="dxa"/>
            <w:vAlign w:val="bottom"/>
          </w:tcPr>
          <w:p>
            <w:pPr>
              <w:ind w:left="20"/>
              <w:spacing w:after="0"/>
              <w:rPr>
                <w:sz w:val="20"/>
                <w:szCs w:val="20"/>
                <w:color w:val="auto"/>
              </w:rPr>
            </w:pPr>
            <w:r>
              <w:rPr>
                <w:rFonts w:ascii="Arial" w:cs="Arial" w:eastAsia="Arial" w:hAnsi="Arial"/>
                <w:sz w:val="16"/>
                <w:szCs w:val="16"/>
                <w:color w:val="auto"/>
              </w:rPr>
              <w:t>Signatures</w:t>
            </w:r>
          </w:p>
        </w:tc>
        <w:tc>
          <w:tcPr>
            <w:tcW w:w="84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661035</wp:posOffset>
            </wp:positionV>
            <wp:extent cx="7106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USA Rare Earth, Inc. | Q1'2026 Quarterly Report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800" w:top="1421" w:right="7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PART I. FINANCIAL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 (UNAUDITED)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7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57"/>
        </w:trPr>
        <w:tc>
          <w:tcPr>
            <w:tcW w:w="7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0" w:type="dxa"/>
            <w:vAlign w:val="bottom"/>
            <w:gridSpan w:val="4"/>
          </w:tcPr>
          <w:p>
            <w:pPr>
              <w:jc w:val="right"/>
              <w:ind w:right="1139"/>
              <w:spacing w:after="0"/>
              <w:rPr>
                <w:sz w:val="20"/>
                <w:szCs w:val="20"/>
                <w:color w:val="auto"/>
              </w:rPr>
            </w:pPr>
            <w:r>
              <w:rPr>
                <w:rFonts w:ascii="Arial" w:cs="Arial" w:eastAsia="Arial" w:hAnsi="Arial"/>
                <w:sz w:val="13"/>
                <w:szCs w:val="13"/>
                <w:i w:val="1"/>
                <w:iCs w:val="1"/>
                <w:color w:val="auto"/>
              </w:rPr>
              <w:t>(In thousands)</w:t>
            </w:r>
          </w:p>
        </w:tc>
      </w:tr>
      <w:tr>
        <w:trPr>
          <w:trHeight w:val="228"/>
        </w:trPr>
        <w:tc>
          <w:tcPr>
            <w:tcW w:w="7980" w:type="dxa"/>
            <w:vAlign w:val="bottom"/>
          </w:tcPr>
          <w:p>
            <w:pPr>
              <w:ind w:left="368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1,749,644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359,925</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5,691</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3,764</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18,535</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6,621</w:t>
            </w:r>
          </w:p>
        </w:tc>
        <w:tc>
          <w:tcPr>
            <w:tcW w:w="100" w:type="dxa"/>
            <w:vAlign w:val="bottom"/>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3,151</w:t>
            </w:r>
          </w:p>
        </w:tc>
      </w:tr>
      <w:tr>
        <w:trPr>
          <w:trHeight w:val="209"/>
        </w:trPr>
        <w:tc>
          <w:tcPr>
            <w:tcW w:w="798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1,790,386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385,375</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118,967</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86,449</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Mineral interests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17,339</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134,848</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134,848</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68,612</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Equipment deposits</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5,364</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1,879</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176</w:t>
            </w:r>
          </w:p>
        </w:tc>
      </w:tr>
      <w:tr>
        <w:trPr>
          <w:trHeight w:val="203"/>
        </w:trPr>
        <w:tc>
          <w:tcPr>
            <w:tcW w:w="798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2,134,839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694,999</w:t>
            </w:r>
          </w:p>
        </w:tc>
      </w:tr>
      <w:tr>
        <w:trPr>
          <w:trHeight w:val="203"/>
        </w:trPr>
        <w:tc>
          <w:tcPr>
            <w:tcW w:w="7980" w:type="dxa"/>
            <w:vAlign w:val="bottom"/>
          </w:tcPr>
          <w:p>
            <w:pPr>
              <w:ind w:left="1780"/>
              <w:spacing w:after="0"/>
              <w:rPr>
                <w:sz w:val="20"/>
                <w:szCs w:val="20"/>
                <w:color w:val="auto"/>
              </w:rPr>
            </w:pPr>
            <w:r>
              <w:rPr>
                <w:rFonts w:ascii="Arial" w:cs="Arial" w:eastAsia="Arial" w:hAnsi="Arial"/>
                <w:sz w:val="16"/>
                <w:szCs w:val="16"/>
                <w:b w:val="1"/>
                <w:bCs w:val="1"/>
                <w:color w:val="auto"/>
              </w:rPr>
              <w:t>LIABILITIES, MEZZANINE AND STOCKHOLDERS' EQUITY</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17,084</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11,069</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14,073</w:t>
            </w: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Contract liabilities</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10,377</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10,500</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Note payable</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1,849</w:t>
            </w: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Finance leases, current</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283</w:t>
            </w:r>
          </w:p>
        </w:tc>
      </w:tr>
      <w:tr>
        <w:trPr>
          <w:trHeight w:val="215"/>
        </w:trPr>
        <w:tc>
          <w:tcPr>
            <w:tcW w:w="798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Operating leases, current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10"/>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49,339</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37,911</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Deferred grant income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8,200</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Finance leases, non-current</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592</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Operating leases, 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Earnout liability</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145,080</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108,671</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Warrant liability</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19,534</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auto"/>
            </w:tcBorders>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16,179</w:t>
            </w:r>
          </w:p>
        </w:tc>
        <w:tc>
          <w:tcPr>
            <w:tcW w:w="100" w:type="dxa"/>
            <w:vAlign w:val="bottom"/>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16,715</w:t>
            </w:r>
          </w:p>
        </w:tc>
      </w:tr>
      <w:tr>
        <w:trPr>
          <w:trHeight w:val="209"/>
        </w:trPr>
        <w:tc>
          <w:tcPr>
            <w:tcW w:w="798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246,266</w:t>
            </w:r>
          </w:p>
        </w:tc>
        <w:tc>
          <w:tcPr>
            <w:tcW w:w="10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191,808</w:t>
            </w:r>
          </w:p>
        </w:tc>
      </w:tr>
      <w:tr>
        <w:trPr>
          <w:trHeight w:val="19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Commitments and contingencies (Note 5)</w:t>
            </w:r>
          </w:p>
        </w:tc>
        <w:tc>
          <w:tcPr>
            <w:tcW w:w="260" w:type="dxa"/>
            <w:vAlign w:val="bottom"/>
            <w:shd w:val="clear" w:color="auto" w:fill="BFE4FF"/>
          </w:tcPr>
          <w:p>
            <w:pPr>
              <w:spacing w:after="0"/>
              <w:rPr>
                <w:sz w:val="17"/>
                <w:szCs w:val="17"/>
                <w:color w:val="auto"/>
              </w:rPr>
            </w:pPr>
          </w:p>
        </w:tc>
        <w:tc>
          <w:tcPr>
            <w:tcW w:w="13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400" w:type="dxa"/>
            <w:vAlign w:val="bottom"/>
            <w:shd w:val="clear" w:color="auto" w:fill="BFE4FF"/>
          </w:tcPr>
          <w:p>
            <w:pPr>
              <w:spacing w:after="0"/>
              <w:rPr>
                <w:sz w:val="17"/>
                <w:szCs w:val="17"/>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Mezzanine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12% Series A Cumulative Convertible Preferred Stock subject to possible redemption</w:t>
            </w:r>
          </w:p>
        </w:tc>
        <w:tc>
          <w:tcPr>
            <w:tcW w:w="260" w:type="dxa"/>
            <w:vAlign w:val="bottom"/>
            <w:tcBorders>
              <w:bottom w:val="single" w:sz="8" w:color="auto"/>
            </w:tcBorders>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9,614</w:t>
            </w:r>
          </w:p>
        </w:tc>
        <w:tc>
          <w:tcPr>
            <w:tcW w:w="100" w:type="dxa"/>
            <w:vAlign w:val="bottom"/>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8,905</w:t>
            </w:r>
          </w:p>
        </w:tc>
      </w:tr>
      <w:tr>
        <w:trPr>
          <w:trHeight w:val="209"/>
        </w:trPr>
        <w:tc>
          <w:tcPr>
            <w:tcW w:w="798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Total mezzanine equity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9,614</w:t>
            </w:r>
          </w:p>
        </w:tc>
        <w:tc>
          <w:tcPr>
            <w:tcW w:w="10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w:t>
            </w:r>
          </w:p>
        </w:tc>
      </w:tr>
      <w:tr>
        <w:trPr>
          <w:trHeight w:val="19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BFE4FF"/>
          </w:tcPr>
          <w:p>
            <w:pPr>
              <w:spacing w:after="0"/>
              <w:rPr>
                <w:sz w:val="17"/>
                <w:szCs w:val="17"/>
                <w:color w:val="auto"/>
              </w:rPr>
            </w:pPr>
          </w:p>
        </w:tc>
        <w:tc>
          <w:tcPr>
            <w:tcW w:w="13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80" w:type="dxa"/>
            <w:vAlign w:val="bottom"/>
            <w:shd w:val="clear" w:color="auto" w:fill="BFE4FF"/>
          </w:tcPr>
          <w:p>
            <w:pPr>
              <w:spacing w:after="0"/>
              <w:rPr>
                <w:sz w:val="17"/>
                <w:szCs w:val="17"/>
                <w:color w:val="auto"/>
              </w:rPr>
            </w:pPr>
          </w:p>
        </w:tc>
        <w:tc>
          <w:tcPr>
            <w:tcW w:w="1400" w:type="dxa"/>
            <w:vAlign w:val="bottom"/>
            <w:shd w:val="clear" w:color="auto" w:fill="BFE4FF"/>
          </w:tcPr>
          <w:p>
            <w:pPr>
              <w:spacing w:after="0"/>
              <w:rPr>
                <w:sz w:val="17"/>
                <w:szCs w:val="17"/>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130</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2,332,912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879,848</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(454,349)</w:t>
            </w: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(387,360)</w:t>
            </w:r>
          </w:p>
        </w:tc>
      </w:tr>
      <w:tr>
        <w:trPr>
          <w:trHeight w:val="215"/>
        </w:trPr>
        <w:tc>
          <w:tcPr>
            <w:tcW w:w="79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r>
      <w:tr>
        <w:trPr>
          <w:trHeight w:val="210"/>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1,878,959</w:t>
            </w:r>
          </w:p>
        </w:tc>
        <w:tc>
          <w:tcPr>
            <w:tcW w:w="100" w:type="dxa"/>
            <w:vAlign w:val="bottom"/>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spacing w:after="0"/>
              <w:rPr>
                <w:sz w:val="18"/>
                <w:szCs w:val="18"/>
                <w:color w:val="auto"/>
              </w:rPr>
            </w:pP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494,286</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Total liabilities, mezzanine equity,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2,134,839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694,999</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191135</wp:posOffset>
            </wp:positionV>
            <wp:extent cx="7046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 and Comprehensive (Loss)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r>
      <w:tr>
        <w:trPr>
          <w:trHeight w:val="169"/>
        </w:trPr>
        <w:tc>
          <w:tcPr>
            <w:tcW w:w="7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4"/>
          </w:tcPr>
          <w:p>
            <w:pPr>
              <w:jc w:val="right"/>
              <w:ind w:right="639"/>
              <w:spacing w:after="0"/>
              <w:rPr>
                <w:sz w:val="20"/>
                <w:szCs w:val="20"/>
                <w:color w:val="auto"/>
              </w:rPr>
            </w:pPr>
            <w:r>
              <w:rPr>
                <w:rFonts w:ascii="Arial" w:cs="Arial" w:eastAsia="Arial" w:hAnsi="Arial"/>
                <w:sz w:val="13"/>
                <w:szCs w:val="13"/>
                <w:i w:val="1"/>
                <w:iCs w:val="1"/>
                <w:color w:val="auto"/>
              </w:rPr>
              <w:t>(In thousands, except per share)</w:t>
            </w:r>
          </w:p>
        </w:tc>
      </w:tr>
      <w:tr>
        <w:trPr>
          <w:trHeight w:val="28"/>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5,698</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5,592</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7,029</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14,249</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1,689</w:t>
            </w:r>
          </w:p>
        </w:tc>
      </w:tr>
      <w:tr>
        <w:trPr>
          <w:trHeight w:val="215"/>
        </w:trPr>
        <w:tc>
          <w:tcPr>
            <w:tcW w:w="79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36,781</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8,718</w:t>
            </w:r>
          </w:p>
        </w:tc>
      </w:tr>
      <w:tr>
        <w:trPr>
          <w:trHeight w:val="209"/>
        </w:trPr>
        <w:tc>
          <w:tcPr>
            <w:tcW w:w="798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(36,675)</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(8,718)</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Interest and dividend income</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11,970</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187</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Grant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(Loss) gain on fair market value of financial instruments, net</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(43,553)</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60,300</w:t>
            </w:r>
          </w:p>
        </w:tc>
      </w:tr>
      <w:tr>
        <w:trPr>
          <w:trHeight w:val="215"/>
        </w:trPr>
        <w:tc>
          <w:tcPr>
            <w:tcW w:w="79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Interest expense and other loss,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0"/>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Total other (expense) income, net</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(31,970)</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60,400</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(68,645)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51,682</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Benefit from income taxes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51,682</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Net (loss) income attributable to USA Rare Earth, Inc.</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(66,989)</w:t>
            </w:r>
          </w:p>
        </w:tc>
        <w:tc>
          <w:tcPr>
            <w:tcW w:w="100" w:type="dxa"/>
            <w:vAlign w:val="bottom"/>
            <w:tcBorders>
              <w:bottom w:val="single" w:sz="8" w:color="BFE4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51,832</w:t>
            </w:r>
          </w:p>
        </w:tc>
      </w:tr>
      <w:tr>
        <w:trPr>
          <w:trHeight w:val="229"/>
        </w:trPr>
        <w:tc>
          <w:tcPr>
            <w:tcW w:w="7980" w:type="dxa"/>
            <w:vAlign w:val="bottom"/>
            <w:shd w:val="clear" w:color="auto" w:fill="BFE4FF"/>
          </w:tcPr>
          <w:p>
            <w:pPr>
              <w:ind w:left="20"/>
              <w:spacing w:after="0" w:line="229"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shd w:val="clear" w:color="auto" w:fill="BFE4FF"/>
          </w:tcPr>
          <w:p>
            <w:pPr>
              <w:spacing w:after="0"/>
              <w:rPr>
                <w:sz w:val="19"/>
                <w:szCs w:val="19"/>
                <w:color w:val="auto"/>
              </w:rPr>
            </w:pPr>
          </w:p>
        </w:tc>
        <w:tc>
          <w:tcPr>
            <w:tcW w:w="1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2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980" w:type="dxa"/>
            <w:vAlign w:val="bottom"/>
          </w:tcPr>
          <w:p>
            <w:pPr>
              <w:ind w:left="20"/>
              <w:spacing w:after="0"/>
              <w:rPr>
                <w:sz w:val="20"/>
                <w:szCs w:val="20"/>
                <w:color w:val="auto"/>
              </w:rPr>
            </w:pPr>
            <w:r>
              <w:rPr>
                <w:rFonts w:ascii="Arial" w:cs="Arial" w:eastAsia="Arial" w:hAnsi="Arial"/>
                <w:sz w:val="16"/>
                <w:szCs w:val="16"/>
                <w:color w:val="auto"/>
              </w:rPr>
              <w:t>Comprehensive (loss) income attributable to USA Rare Earth, Inc.</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(67,319)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51,832</w:t>
            </w:r>
          </w:p>
        </w:tc>
      </w:tr>
      <w:tr>
        <w:trPr>
          <w:trHeight w:val="418"/>
        </w:trPr>
        <w:tc>
          <w:tcPr>
            <w:tcW w:w="798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USA Rare Earth,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0.75</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0.58</w:t>
            </w:r>
          </w:p>
        </w:tc>
      </w:tr>
      <w:tr>
        <w:trPr>
          <w:trHeight w:val="486"/>
        </w:trPr>
        <w:tc>
          <w:tcPr>
            <w:tcW w:w="7980" w:type="dxa"/>
            <w:vAlign w:val="bottom"/>
          </w:tcPr>
          <w:p>
            <w:pPr>
              <w:ind w:left="20"/>
              <w:spacing w:after="0"/>
              <w:rPr>
                <w:sz w:val="20"/>
                <w:szCs w:val="20"/>
                <w:color w:val="auto"/>
              </w:rPr>
            </w:pPr>
            <w:r>
              <w:rPr>
                <w:rFonts w:ascii="Arial" w:cs="Arial" w:eastAsia="Arial" w:hAnsi="Arial"/>
                <w:sz w:val="16"/>
                <w:szCs w:val="16"/>
                <w:color w:val="auto"/>
              </w:rPr>
              <w:t>Number of shares used in per share calculations: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196,479</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64,463</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196,479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83,079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199390</wp:posOffset>
            </wp:positionV>
            <wp:extent cx="7046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Mezzanine Equity</w:t>
      </w:r>
    </w:p>
    <w:p>
      <w:pPr>
        <w:spacing w:after="0" w:line="291"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960" w:type="dxa"/>
            <w:vAlign w:val="bottom"/>
            <w:tcBorders>
              <w:top w:val="single" w:sz="8" w:color="auto"/>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12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top w:val="single" w:sz="8" w:color="auto"/>
              <w:bottom w:val="single" w:sz="8" w:color="auto"/>
            </w:tcBorders>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16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Amount</w:t>
            </w:r>
          </w:p>
        </w:tc>
      </w:tr>
      <w:tr>
        <w:trPr>
          <w:trHeight w:val="158"/>
        </w:trPr>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ind w:left="920"/>
              <w:spacing w:after="0"/>
              <w:rPr>
                <w:sz w:val="20"/>
                <w:szCs w:val="20"/>
                <w:color w:val="auto"/>
              </w:rPr>
            </w:pPr>
            <w:r>
              <w:rPr>
                <w:rFonts w:ascii="Arial" w:cs="Arial" w:eastAsia="Arial" w:hAnsi="Arial"/>
                <w:sz w:val="13"/>
                <w:szCs w:val="13"/>
                <w:i w:val="1"/>
                <w:iCs w:val="1"/>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7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12% Series A Cumulative Convertible Preferred Stock</w:t>
            </w:r>
          </w:p>
        </w:tc>
        <w:tc>
          <w:tcPr>
            <w:tcW w:w="15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2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spacing w:after="0"/>
              <w:rPr>
                <w:sz w:val="18"/>
                <w:szCs w:val="18"/>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Beginning balance</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8,905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21,173</w:t>
            </w:r>
          </w:p>
        </w:tc>
      </w:tr>
      <w:tr>
        <w:trPr>
          <w:trHeight w:val="217"/>
        </w:trPr>
        <w:tc>
          <w:tcPr>
            <w:tcW w:w="4700" w:type="dxa"/>
            <w:vAlign w:val="bottom"/>
            <w:shd w:val="clear" w:color="auto" w:fill="BFE4FF"/>
          </w:tcPr>
          <w:p>
            <w:pPr>
              <w:ind w:left="240"/>
              <w:spacing w:after="0"/>
              <w:rPr>
                <w:sz w:val="20"/>
                <w:szCs w:val="20"/>
                <w:color w:val="auto"/>
              </w:rPr>
            </w:pPr>
            <w:r>
              <w:rPr>
                <w:rFonts w:ascii="Arial" w:cs="Arial" w:eastAsia="Arial" w:hAnsi="Arial"/>
                <w:sz w:val="16"/>
                <w:szCs w:val="16"/>
                <w:color w:val="auto"/>
              </w:rPr>
              <w:t>USARE LLC Convertible Preferred unit dividends</w:t>
            </w:r>
          </w:p>
        </w:tc>
        <w:tc>
          <w:tcPr>
            <w:tcW w:w="16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8"/>
                <w:szCs w:val="18"/>
                <w:color w:val="auto"/>
              </w:rPr>
            </w:pPr>
          </w:p>
        </w:tc>
        <w:tc>
          <w:tcPr>
            <w:tcW w:w="1800" w:type="dxa"/>
            <w:vAlign w:val="bottom"/>
            <w:gridSpan w:val="3"/>
            <w:shd w:val="clear" w:color="auto" w:fill="BFE4FF"/>
          </w:tcPr>
          <w:p>
            <w:pPr>
              <w:jc w:val="right"/>
              <w:ind w:right="6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1,082</w:t>
            </w:r>
          </w:p>
        </w:tc>
      </w:tr>
      <w:tr>
        <w:trPr>
          <w:trHeight w:val="215"/>
        </w:trPr>
        <w:tc>
          <w:tcPr>
            <w:tcW w:w="4700" w:type="dxa"/>
            <w:vAlign w:val="bottom"/>
          </w:tcPr>
          <w:p>
            <w:pPr>
              <w:ind w:left="240"/>
              <w:spacing w:after="0"/>
              <w:rPr>
                <w:sz w:val="20"/>
                <w:szCs w:val="20"/>
                <w:color w:val="auto"/>
              </w:rPr>
            </w:pPr>
            <w:r>
              <w:rPr>
                <w:rFonts w:ascii="Arial" w:cs="Arial" w:eastAsia="Arial" w:hAnsi="Arial"/>
                <w:sz w:val="16"/>
                <w:szCs w:val="16"/>
                <w:color w:val="auto"/>
              </w:rPr>
              <w:t>Issuance of preferred stock, net of issuance costs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11,745</w:t>
            </w:r>
          </w:p>
        </w:tc>
      </w:tr>
      <w:tr>
        <w:trPr>
          <w:trHeight w:val="217"/>
        </w:trPr>
        <w:tc>
          <w:tcPr>
            <w:tcW w:w="4700" w:type="dxa"/>
            <w:vAlign w:val="bottom"/>
            <w:shd w:val="clear" w:color="auto" w:fill="BFE4FF"/>
          </w:tcPr>
          <w:p>
            <w:pPr>
              <w:ind w:left="240"/>
              <w:spacing w:after="0"/>
              <w:rPr>
                <w:sz w:val="20"/>
                <w:szCs w:val="20"/>
                <w:color w:val="auto"/>
              </w:rPr>
            </w:pPr>
            <w:r>
              <w:rPr>
                <w:rFonts w:ascii="Arial" w:cs="Arial" w:eastAsia="Arial" w:hAnsi="Arial"/>
                <w:sz w:val="16"/>
                <w:szCs w:val="16"/>
                <w:color w:val="auto"/>
              </w:rPr>
              <w:t>Shares issued in reverse recapitalization</w:t>
            </w:r>
          </w:p>
        </w:tc>
        <w:tc>
          <w:tcPr>
            <w:tcW w:w="16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8"/>
                <w:szCs w:val="18"/>
                <w:color w:val="auto"/>
              </w:rPr>
            </w:pPr>
          </w:p>
        </w:tc>
        <w:tc>
          <w:tcPr>
            <w:tcW w:w="1800" w:type="dxa"/>
            <w:vAlign w:val="bottom"/>
            <w:gridSpan w:val="3"/>
            <w:shd w:val="clear" w:color="auto" w:fill="BFE4FF"/>
          </w:tcPr>
          <w:p>
            <w:pPr>
              <w:jc w:val="right"/>
              <w:ind w:right="6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1,527</w:t>
            </w:r>
          </w:p>
        </w:tc>
      </w:tr>
      <w:tr>
        <w:trPr>
          <w:trHeight w:val="215"/>
        </w:trPr>
        <w:tc>
          <w:tcPr>
            <w:tcW w:w="4700" w:type="dxa"/>
            <w:vAlign w:val="bottom"/>
          </w:tcPr>
          <w:p>
            <w:pPr>
              <w:ind w:left="240"/>
              <w:spacing w:after="0"/>
              <w:rPr>
                <w:sz w:val="20"/>
                <w:szCs w:val="20"/>
                <w:color w:val="auto"/>
              </w:rPr>
            </w:pPr>
            <w:r>
              <w:rPr>
                <w:rFonts w:ascii="Arial" w:cs="Arial" w:eastAsia="Arial" w:hAnsi="Arial"/>
                <w:sz w:val="16"/>
                <w:szCs w:val="16"/>
                <w:color w:val="auto"/>
              </w:rPr>
              <w:t>Deferred offering costs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(3,237)</w:t>
            </w:r>
          </w:p>
        </w:tc>
      </w:tr>
      <w:tr>
        <w:trPr>
          <w:trHeight w:val="217"/>
        </w:trPr>
        <w:tc>
          <w:tcPr>
            <w:tcW w:w="4700" w:type="dxa"/>
            <w:vAlign w:val="bottom"/>
            <w:shd w:val="clear" w:color="auto" w:fill="BFE4FF"/>
          </w:tcPr>
          <w:p>
            <w:pPr>
              <w:ind w:left="240"/>
              <w:spacing w:after="0"/>
              <w:rPr>
                <w:sz w:val="20"/>
                <w:szCs w:val="20"/>
                <w:color w:val="auto"/>
              </w:rPr>
            </w:pPr>
            <w:r>
              <w:rPr>
                <w:rFonts w:ascii="Arial" w:cs="Arial" w:eastAsia="Arial" w:hAnsi="Arial"/>
                <w:sz w:val="16"/>
                <w:szCs w:val="16"/>
                <w:color w:val="auto"/>
              </w:rPr>
              <w:t>Deemed dividend and accretion to redemption value</w:t>
            </w:r>
          </w:p>
        </w:tc>
        <w:tc>
          <w:tcPr>
            <w:tcW w:w="16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8"/>
                <w:szCs w:val="18"/>
                <w:color w:val="auto"/>
              </w:rPr>
            </w:pPr>
          </w:p>
        </w:tc>
        <w:tc>
          <w:tcPr>
            <w:tcW w:w="12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20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107</w:t>
            </w:r>
          </w:p>
        </w:tc>
      </w:tr>
      <w:tr>
        <w:trPr>
          <w:trHeight w:val="203"/>
        </w:trPr>
        <w:tc>
          <w:tcPr>
            <w:tcW w:w="47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Ending balance</w:t>
            </w:r>
          </w:p>
        </w:tc>
        <w:tc>
          <w:tcPr>
            <w:tcW w:w="1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BFE4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9,614</w:t>
            </w:r>
          </w:p>
        </w:tc>
        <w:tc>
          <w:tcPr>
            <w:tcW w:w="100" w:type="dxa"/>
            <w:vAlign w:val="bottom"/>
            <w:tcBorders>
              <w:bottom w:val="single" w:sz="8" w:color="BFE4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5,233</w:t>
            </w:r>
          </w:p>
        </w:tc>
        <w:tc>
          <w:tcPr>
            <w:tcW w:w="100" w:type="dxa"/>
            <w:vAlign w:val="bottom"/>
            <w:tcBorders>
              <w:bottom w:val="single" w:sz="8" w:color="BFE4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32,397</w:t>
            </w:r>
          </w:p>
        </w:tc>
      </w:tr>
      <w:tr>
        <w:trPr>
          <w:trHeight w:val="257"/>
        </w:trPr>
        <w:tc>
          <w:tcPr>
            <w:tcW w:w="4700" w:type="dxa"/>
            <w:vAlign w:val="bottom"/>
            <w:shd w:val="clear" w:color="auto" w:fill="BFE4FF"/>
          </w:tcPr>
          <w:p>
            <w:pPr>
              <w:spacing w:after="0"/>
              <w:rPr>
                <w:sz w:val="22"/>
                <w:szCs w:val="22"/>
                <w:color w:val="auto"/>
              </w:rPr>
            </w:pPr>
          </w:p>
        </w:tc>
        <w:tc>
          <w:tcPr>
            <w:tcW w:w="15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12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44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20" w:type="dxa"/>
            <w:vAlign w:val="bottom"/>
            <w:shd w:val="clear" w:color="auto" w:fill="BFE4FF"/>
          </w:tcPr>
          <w:p>
            <w:pPr>
              <w:spacing w:after="0"/>
              <w:rPr>
                <w:sz w:val="22"/>
                <w:szCs w:val="22"/>
                <w:color w:val="auto"/>
              </w:rPr>
            </w:pPr>
          </w:p>
        </w:tc>
        <w:tc>
          <w:tcPr>
            <w:tcW w:w="1260" w:type="dxa"/>
            <w:vAlign w:val="bottom"/>
            <w:shd w:val="clear" w:color="auto" w:fill="BFE4FF"/>
          </w:tcPr>
          <w:p>
            <w:pPr>
              <w:spacing w:after="0"/>
              <w:rPr>
                <w:sz w:val="22"/>
                <w:szCs w:val="22"/>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Subscription Receivable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7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5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800" w:type="dxa"/>
            <w:vAlign w:val="bottom"/>
            <w:gridSpan w:val="3"/>
            <w:shd w:val="clear" w:color="auto" w:fill="BFE4FF"/>
          </w:tcPr>
          <w:p>
            <w:pPr>
              <w:jc w:val="right"/>
              <w:ind w:right="6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(1,250)</w:t>
            </w:r>
          </w:p>
        </w:tc>
      </w:tr>
      <w:tr>
        <w:trPr>
          <w:trHeight w:val="215"/>
        </w:trPr>
        <w:tc>
          <w:tcPr>
            <w:tcW w:w="4700" w:type="dxa"/>
            <w:vAlign w:val="bottom"/>
          </w:tcPr>
          <w:p>
            <w:pPr>
              <w:ind w:left="240"/>
              <w:spacing w:after="0"/>
              <w:rPr>
                <w:sz w:val="20"/>
                <w:szCs w:val="20"/>
                <w:color w:val="auto"/>
              </w:rPr>
            </w:pPr>
            <w:r>
              <w:rPr>
                <w:rFonts w:ascii="Arial" w:cs="Arial" w:eastAsia="Arial" w:hAnsi="Arial"/>
                <w:sz w:val="16"/>
                <w:szCs w:val="16"/>
                <w:color w:val="auto"/>
              </w:rPr>
              <w:t>Shares issued in reverse recapitalization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04"/>
        </w:trPr>
        <w:tc>
          <w:tcPr>
            <w:tcW w:w="4700" w:type="dxa"/>
            <w:vAlign w:val="bottom"/>
            <w:tcBorders>
              <w:top w:val="single" w:sz="8" w:color="BFE4FF"/>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560" w:type="dxa"/>
            <w:vAlign w:val="bottom"/>
            <w:tcBorders>
              <w:top w:val="single" w:sz="8" w:color="BFE4FF"/>
              <w:bottom w:val="single" w:sz="8" w:color="BFE4FF"/>
            </w:tcBorders>
            <w:shd w:val="clear" w:color="auto" w:fill="BFE4FF"/>
          </w:tcPr>
          <w:p>
            <w:pPr>
              <w:spacing w:after="0"/>
              <w:rPr>
                <w:sz w:val="17"/>
                <w:szCs w:val="17"/>
                <w:color w:val="auto"/>
              </w:rPr>
            </w:pPr>
          </w:p>
        </w:tc>
        <w:tc>
          <w:tcPr>
            <w:tcW w:w="100" w:type="dxa"/>
            <w:vAlign w:val="bottom"/>
            <w:tcBorders>
              <w:top w:val="single" w:sz="8" w:color="BFE4FF"/>
              <w:bottom w:val="single" w:sz="8" w:color="BFE4FF"/>
            </w:tcBorders>
            <w:shd w:val="clear" w:color="auto" w:fill="BFE4FF"/>
          </w:tcPr>
          <w:p>
            <w:pPr>
              <w:spacing w:after="0"/>
              <w:rPr>
                <w:sz w:val="17"/>
                <w:szCs w:val="17"/>
                <w:color w:val="auto"/>
              </w:rPr>
            </w:pPr>
          </w:p>
        </w:tc>
        <w:tc>
          <w:tcPr>
            <w:tcW w:w="300" w:type="dxa"/>
            <w:vAlign w:val="bottom"/>
            <w:tcBorders>
              <w:top w:val="single" w:sz="8" w:color="auto"/>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BFE4FF"/>
              <w:bottom w:val="single" w:sz="8" w:color="BFE4FF"/>
            </w:tcBorders>
            <w:gridSpan w:val="2"/>
            <w:shd w:val="clear" w:color="auto" w:fill="BFE4FF"/>
          </w:tcPr>
          <w:p>
            <w:pPr>
              <w:spacing w:after="0"/>
              <w:rPr>
                <w:sz w:val="17"/>
                <w:szCs w:val="17"/>
                <w:color w:val="auto"/>
              </w:rPr>
            </w:pPr>
          </w:p>
        </w:tc>
        <w:tc>
          <w:tcPr>
            <w:tcW w:w="1100" w:type="dxa"/>
            <w:vAlign w:val="bottom"/>
            <w:tcBorders>
              <w:top w:val="single" w:sz="8" w:color="BFE4FF"/>
              <w:bottom w:val="single" w:sz="8" w:color="BFE4FF"/>
            </w:tcBorders>
            <w:shd w:val="clear" w:color="auto" w:fill="BFE4FF"/>
          </w:tcPr>
          <w:p>
            <w:pPr>
              <w:spacing w:after="0"/>
              <w:rPr>
                <w:sz w:val="17"/>
                <w:szCs w:val="17"/>
                <w:color w:val="auto"/>
              </w:rPr>
            </w:pPr>
          </w:p>
        </w:tc>
        <w:tc>
          <w:tcPr>
            <w:tcW w:w="100" w:type="dxa"/>
            <w:vAlign w:val="bottom"/>
            <w:tcBorders>
              <w:top w:val="single" w:sz="8" w:color="BFE4FF"/>
              <w:bottom w:val="single" w:sz="8" w:color="BFE4FF"/>
            </w:tcBorders>
            <w:shd w:val="clear" w:color="auto" w:fill="BFE4FF"/>
          </w:tcPr>
          <w:p>
            <w:pPr>
              <w:spacing w:after="0"/>
              <w:rPr>
                <w:sz w:val="17"/>
                <w:szCs w:val="17"/>
                <w:color w:val="auto"/>
              </w:rPr>
            </w:pPr>
          </w:p>
        </w:tc>
        <w:tc>
          <w:tcPr>
            <w:tcW w:w="32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7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47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Total Mezzanine Equity</w:t>
            </w:r>
          </w:p>
        </w:tc>
        <w:tc>
          <w:tcPr>
            <w:tcW w:w="15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2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260" w:type="dxa"/>
            <w:vAlign w:val="bottom"/>
            <w:shd w:val="clear" w:color="auto" w:fill="BFE4FF"/>
          </w:tcPr>
          <w:p>
            <w:pPr>
              <w:spacing w:after="0"/>
              <w:rPr>
                <w:sz w:val="18"/>
                <w:szCs w:val="18"/>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Beginning balance</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8,905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19,923</w:t>
            </w:r>
          </w:p>
        </w:tc>
      </w:tr>
      <w:tr>
        <w:trPr>
          <w:trHeight w:val="224"/>
        </w:trPr>
        <w:tc>
          <w:tcPr>
            <w:tcW w:w="47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5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BFE4FF"/>
            </w:tcBorders>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9,614</w:t>
            </w:r>
          </w:p>
        </w:tc>
        <w:tc>
          <w:tcPr>
            <w:tcW w:w="100" w:type="dxa"/>
            <w:vAlign w:val="bottom"/>
            <w:tcBorders>
              <w:bottom w:val="single" w:sz="8" w:color="BFE4FF"/>
            </w:tcBorders>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5,233</w:t>
            </w:r>
          </w:p>
        </w:tc>
        <w:tc>
          <w:tcPr>
            <w:tcW w:w="100" w:type="dxa"/>
            <w:vAlign w:val="bottom"/>
            <w:tcBorders>
              <w:bottom w:val="single" w:sz="8" w:color="BFE4FF"/>
            </w:tcBorders>
            <w:shd w:val="clear" w:color="auto" w:fill="BFE4FF"/>
          </w:tcPr>
          <w:p>
            <w:pPr>
              <w:spacing w:after="0"/>
              <w:rPr>
                <w:sz w:val="19"/>
                <w:szCs w:val="19"/>
                <w:color w:val="auto"/>
              </w:rPr>
            </w:pPr>
          </w:p>
        </w:tc>
        <w:tc>
          <w:tcPr>
            <w:tcW w:w="320" w:type="dxa"/>
            <w:vAlign w:val="bottom"/>
            <w:tcBorders>
              <w:bottom w:val="single" w:sz="8" w:color="auto"/>
            </w:tcBorders>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32,397</w:t>
            </w: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353695</wp:posOffset>
            </wp:positionV>
            <wp:extent cx="7046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5720" w:type="dxa"/>
            <w:vAlign w:val="bottom"/>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auto"/>
            </w:tcBorders>
          </w:tcPr>
          <w:p>
            <w:pPr>
              <w:spacing w:after="0"/>
              <w:rPr>
                <w:sz w:val="17"/>
                <w:szCs w:val="17"/>
                <w:color w:val="auto"/>
              </w:rPr>
            </w:pPr>
          </w:p>
        </w:tc>
      </w:tr>
      <w:tr>
        <w:trPr>
          <w:trHeight w:val="196"/>
        </w:trPr>
        <w:tc>
          <w:tcPr>
            <w:tcW w:w="5720" w:type="dxa"/>
            <w:vAlign w:val="bottom"/>
          </w:tcPr>
          <w:p>
            <w:pPr>
              <w:spacing w:after="0"/>
              <w:rPr>
                <w:sz w:val="17"/>
                <w:szCs w:val="17"/>
                <w:color w:val="auto"/>
              </w:rPr>
            </w:pPr>
          </w:p>
        </w:tc>
        <w:tc>
          <w:tcPr>
            <w:tcW w:w="13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Amount</w:t>
            </w:r>
          </w:p>
        </w:tc>
      </w:tr>
      <w:tr>
        <w:trPr>
          <w:trHeight w:val="158"/>
        </w:trPr>
        <w:tc>
          <w:tcPr>
            <w:tcW w:w="5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center"/>
              <w:ind w:left="660"/>
              <w:spacing w:after="0"/>
              <w:rPr>
                <w:sz w:val="20"/>
                <w:szCs w:val="20"/>
                <w:color w:val="auto"/>
              </w:rPr>
            </w:pPr>
            <w:r>
              <w:rPr>
                <w:rFonts w:ascii="Arial" w:cs="Arial" w:eastAsia="Arial" w:hAnsi="Arial"/>
                <w:sz w:val="13"/>
                <w:szCs w:val="13"/>
                <w:i w:val="1"/>
                <w:iCs w:val="1"/>
                <w:color w:val="auto"/>
                <w:w w:val="96"/>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Common Stock</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148,055</w:t>
            </w: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60,091</w:t>
            </w: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USARE LLC Convertible Preferred unit dividends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Shares issued in reverse merger recapitalization</w:t>
            </w:r>
          </w:p>
        </w:tc>
        <w:tc>
          <w:tcPr>
            <w:tcW w:w="138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BFE4FF"/>
          </w:tcPr>
          <w:p>
            <w:pPr>
              <w:spacing w:after="0"/>
              <w:rPr>
                <w:sz w:val="18"/>
                <w:szCs w:val="18"/>
                <w:color w:val="auto"/>
              </w:rPr>
            </w:pPr>
          </w:p>
        </w:tc>
        <w:tc>
          <w:tcPr>
            <w:tcW w:w="1580" w:type="dxa"/>
            <w:vAlign w:val="bottom"/>
            <w:gridSpan w:val="3"/>
            <w:shd w:val="clear" w:color="auto" w:fill="BFE4FF"/>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21,679</w:t>
            </w: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Investor warrants exercised</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PIPE financing</w:t>
            </w:r>
          </w:p>
        </w:tc>
        <w:tc>
          <w:tcPr>
            <w:tcW w:w="13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69,767</w:t>
            </w: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102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Other issuances</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tcBorders>
              <w:top w:val="single" w:sz="8" w:color="BFE4FF"/>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Borders>
              <w:top w:val="single" w:sz="8" w:color="auto"/>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217,976</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22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380" w:type="dxa"/>
            <w:vAlign w:val="bottom"/>
            <w:tcBorders>
              <w:top w:val="single" w:sz="8" w:color="auto"/>
              <w:bottom w:val="single" w:sz="8" w:color="auto"/>
            </w:tcBorders>
            <w:shd w:val="clear" w:color="auto" w:fill="BFE4FF"/>
          </w:tcPr>
          <w:p>
            <w:pPr>
              <w:spacing w:after="0"/>
              <w:rPr>
                <w:sz w:val="18"/>
                <w:szCs w:val="18"/>
                <w:color w:val="auto"/>
              </w:rPr>
            </w:pPr>
          </w:p>
        </w:tc>
        <w:tc>
          <w:tcPr>
            <w:tcW w:w="9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81,952</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26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Additional Paid-In Capital</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879,848</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104,244</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Equity-based compensation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Deemed dividend - preferred accretion to redemption value</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(709)</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Warrant exercises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PIPE financing</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1,499,993</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PIPE financing costs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Earnout liability</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580" w:type="dxa"/>
            <w:vAlign w:val="bottom"/>
            <w:gridSpan w:val="3"/>
            <w:shd w:val="clear" w:color="auto" w:fill="BFE4FF"/>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(99,639)</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Forward purchase agreement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Transaction bonus</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580" w:type="dxa"/>
            <w:vAlign w:val="bottom"/>
            <w:gridSpan w:val="3"/>
            <w:shd w:val="clear" w:color="auto" w:fill="BFE4FF"/>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841</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Extinguishment of note payable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1,506</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Reverse recapitalization</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580" w:type="dxa"/>
            <w:vAlign w:val="bottom"/>
            <w:gridSpan w:val="3"/>
            <w:shd w:val="clear" w:color="auto" w:fill="BFE4FF"/>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(6,843)</w:t>
            </w:r>
          </w:p>
        </w:tc>
      </w:tr>
      <w:tr>
        <w:trPr>
          <w:trHeight w:val="215"/>
        </w:trPr>
        <w:tc>
          <w:tcPr>
            <w:tcW w:w="57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Other</w:t>
            </w:r>
          </w:p>
        </w:tc>
        <w:tc>
          <w:tcPr>
            <w:tcW w:w="1300" w:type="dxa"/>
            <w:vAlign w:val="bottom"/>
            <w:tcBorders>
              <w:bottom w:val="single" w:sz="8" w:color="BFE4FF"/>
            </w:tcBorders>
          </w:tcPr>
          <w:p>
            <w:pPr>
              <w:spacing w:after="0"/>
              <w:rPr>
                <w:sz w:val="18"/>
                <w:szCs w:val="18"/>
                <w:color w:val="auto"/>
              </w:rPr>
            </w:pPr>
          </w:p>
        </w:tc>
        <w:tc>
          <w:tcPr>
            <w:tcW w:w="8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80" w:type="dxa"/>
            <w:vAlign w:val="bottom"/>
            <w:tcBorders>
              <w:bottom w:val="single" w:sz="8" w:color="BFE4FF"/>
            </w:tcBorders>
          </w:tcPr>
          <w:p>
            <w:pPr>
              <w:spacing w:after="0"/>
              <w:rPr>
                <w:sz w:val="18"/>
                <w:szCs w:val="18"/>
                <w:color w:val="auto"/>
              </w:rPr>
            </w:pPr>
          </w:p>
        </w:tc>
        <w:tc>
          <w:tcPr>
            <w:tcW w:w="380" w:type="dxa"/>
            <w:vAlign w:val="bottom"/>
            <w:tcBorders>
              <w:bottom w:val="single" w:sz="8" w:color="BFE4FF"/>
            </w:tcBorders>
          </w:tcPr>
          <w:p>
            <w:pPr>
              <w:spacing w:after="0"/>
              <w:rPr>
                <w:sz w:val="18"/>
                <w:szCs w:val="18"/>
                <w:color w:val="auto"/>
              </w:rPr>
            </w:pPr>
          </w:p>
        </w:tc>
        <w:tc>
          <w:tcPr>
            <w:tcW w:w="920" w:type="dxa"/>
            <w:vAlign w:val="bottom"/>
            <w:tcBorders>
              <w:bottom w:val="single" w:sz="8" w:color="BFE4FF"/>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2,332,912</w:t>
            </w:r>
          </w:p>
        </w:tc>
        <w:tc>
          <w:tcPr>
            <w:tcW w:w="8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9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2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24</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Translation adjustment</w:t>
            </w:r>
          </w:p>
        </w:tc>
        <w:tc>
          <w:tcPr>
            <w:tcW w:w="1300" w:type="dxa"/>
            <w:vAlign w:val="bottom"/>
            <w:tcBorders>
              <w:bottom w:val="single" w:sz="8" w:color="BFE4FF"/>
            </w:tcBorders>
          </w:tcPr>
          <w:p>
            <w:pPr>
              <w:spacing w:after="0"/>
              <w:rPr>
                <w:sz w:val="18"/>
                <w:szCs w:val="18"/>
                <w:color w:val="auto"/>
              </w:rPr>
            </w:pPr>
          </w:p>
        </w:tc>
        <w:tc>
          <w:tcPr>
            <w:tcW w:w="8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80" w:type="dxa"/>
            <w:vAlign w:val="bottom"/>
            <w:tcBorders>
              <w:bottom w:val="single" w:sz="8" w:color="BFE4FF"/>
            </w:tcBorders>
          </w:tcPr>
          <w:p>
            <w:pPr>
              <w:spacing w:after="0"/>
              <w:rPr>
                <w:sz w:val="18"/>
                <w:szCs w:val="18"/>
                <w:color w:val="auto"/>
              </w:rPr>
            </w:pPr>
          </w:p>
        </w:tc>
        <w:tc>
          <w:tcPr>
            <w:tcW w:w="380" w:type="dxa"/>
            <w:vAlign w:val="bottom"/>
            <w:tcBorders>
              <w:bottom w:val="single" w:sz="8" w:color="BFE4FF"/>
            </w:tcBorders>
          </w:tcPr>
          <w:p>
            <w:pPr>
              <w:spacing w:after="0"/>
              <w:rPr>
                <w:sz w:val="18"/>
                <w:szCs w:val="18"/>
                <w:color w:val="auto"/>
              </w:rPr>
            </w:pPr>
          </w:p>
        </w:tc>
        <w:tc>
          <w:tcPr>
            <w:tcW w:w="920" w:type="dxa"/>
            <w:vAlign w:val="bottom"/>
            <w:tcBorders>
              <w:bottom w:val="single" w:sz="8" w:color="BFE4FF"/>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9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2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Subscription Receivable</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BFE4FF"/>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Forward purchase agreements prepayment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(20,389)</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Early termination of forward purchase agreements</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580" w:type="dxa"/>
            <w:vAlign w:val="bottom"/>
            <w:gridSpan w:val="3"/>
            <w:shd w:val="clear" w:color="auto" w:fill="BFE4FF"/>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3,271</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Accretion of forward purchase agreements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5720" w:type="dxa"/>
            <w:vAlign w:val="bottom"/>
            <w:tcBorders>
              <w:top w:val="single" w:sz="8" w:color="BFE4FF"/>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Borders>
              <w:top w:val="single" w:sz="8" w:color="BFE4FF"/>
              <w:bottom w:val="single" w:sz="8" w:color="BFE4FF"/>
            </w:tcBorders>
            <w:shd w:val="clear" w:color="auto" w:fill="BFE4FF"/>
          </w:tcPr>
          <w:p>
            <w:pPr>
              <w:spacing w:after="0"/>
              <w:rPr>
                <w:sz w:val="18"/>
                <w:szCs w:val="18"/>
                <w:color w:val="auto"/>
              </w:rPr>
            </w:pP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22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BFE4FF"/>
              <w:bottom w:val="single" w:sz="8" w:color="BFE4FF"/>
            </w:tcBorders>
            <w:gridSpan w:val="2"/>
            <w:shd w:val="clear" w:color="auto" w:fill="BFE4FF"/>
          </w:tcPr>
          <w:p>
            <w:pPr>
              <w:spacing w:after="0"/>
              <w:rPr>
                <w:sz w:val="18"/>
                <w:szCs w:val="18"/>
                <w:color w:val="auto"/>
              </w:rPr>
            </w:pPr>
          </w:p>
        </w:tc>
        <w:tc>
          <w:tcPr>
            <w:tcW w:w="920" w:type="dxa"/>
            <w:vAlign w:val="bottom"/>
            <w:tcBorders>
              <w:top w:val="single" w:sz="8" w:color="BFE4FF"/>
              <w:bottom w:val="single" w:sz="8" w:color="BFE4FF"/>
            </w:tcBorders>
            <w:shd w:val="clear" w:color="auto" w:fill="BFE4FF"/>
          </w:tcPr>
          <w:p>
            <w:pPr>
              <w:spacing w:after="0"/>
              <w:rPr>
                <w:sz w:val="18"/>
                <w:szCs w:val="18"/>
                <w:color w:val="auto"/>
              </w:rPr>
            </w:pP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26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(17,187)</w:t>
            </w:r>
          </w:p>
        </w:tc>
      </w:tr>
      <w:tr>
        <w:trPr>
          <w:trHeight w:val="284"/>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(387,360)</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(72,872)</w:t>
            </w:r>
          </w:p>
        </w:tc>
      </w:tr>
      <w:tr>
        <w:trPr>
          <w:trHeight w:val="215"/>
        </w:trPr>
        <w:tc>
          <w:tcPr>
            <w:tcW w:w="5720" w:type="dxa"/>
            <w:vAlign w:val="bottom"/>
          </w:tcPr>
          <w:p>
            <w:pPr>
              <w:ind w:left="240"/>
              <w:spacing w:after="0"/>
              <w:rPr>
                <w:sz w:val="20"/>
                <w:szCs w:val="20"/>
                <w:color w:val="auto"/>
              </w:rPr>
            </w:pPr>
            <w:r>
              <w:rPr>
                <w:rFonts w:ascii="Arial" w:cs="Arial" w:eastAsia="Arial" w:hAnsi="Arial"/>
                <w:sz w:val="16"/>
                <w:szCs w:val="16"/>
                <w:color w:val="auto"/>
              </w:rPr>
              <w:t>Shares issued in reverse merger recapitalization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(16,954)</w:t>
            </w:r>
          </w:p>
        </w:tc>
      </w:tr>
      <w:tr>
        <w:trPr>
          <w:trHeight w:val="217"/>
        </w:trPr>
        <w:tc>
          <w:tcPr>
            <w:tcW w:w="57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Net (loss) income attributable to USA Rare Earth, Inc.</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(66,989)</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51,832</w:t>
            </w:r>
          </w:p>
        </w:tc>
      </w:tr>
      <w:tr>
        <w:trPr>
          <w:trHeight w:val="203"/>
        </w:trPr>
        <w:tc>
          <w:tcPr>
            <w:tcW w:w="5720" w:type="dxa"/>
            <w:vAlign w:val="bottom"/>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(37,994)</w:t>
            </w:r>
          </w:p>
        </w:tc>
      </w:tr>
      <w:tr>
        <w:trPr>
          <w:trHeight w:val="297"/>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1,653</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2,643</w:t>
            </w:r>
          </w:p>
        </w:tc>
      </w:tr>
      <w:tr>
        <w:trPr>
          <w:trHeight w:val="215"/>
        </w:trPr>
        <w:tc>
          <w:tcPr>
            <w:tcW w:w="57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Net loss attributable to non-controlling interest</w:t>
            </w:r>
          </w:p>
        </w:tc>
        <w:tc>
          <w:tcPr>
            <w:tcW w:w="1300" w:type="dxa"/>
            <w:vAlign w:val="bottom"/>
            <w:tcBorders>
              <w:bottom w:val="single" w:sz="8" w:color="BFE4FF"/>
            </w:tcBorders>
          </w:tcPr>
          <w:p>
            <w:pPr>
              <w:spacing w:after="0"/>
              <w:rPr>
                <w:sz w:val="18"/>
                <w:szCs w:val="18"/>
                <w:color w:val="auto"/>
              </w:rPr>
            </w:pPr>
          </w:p>
        </w:tc>
        <w:tc>
          <w:tcPr>
            <w:tcW w:w="8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Borders>
              <w:bottom w:val="single" w:sz="8" w:color="BFE4FF"/>
            </w:tcBorders>
          </w:tcPr>
          <w:p>
            <w:pPr>
              <w:spacing w:after="0"/>
              <w:rPr>
                <w:sz w:val="18"/>
                <w:szCs w:val="18"/>
                <w:color w:val="auto"/>
              </w:rPr>
            </w:pPr>
          </w:p>
        </w:tc>
        <w:tc>
          <w:tcPr>
            <w:tcW w:w="380" w:type="dxa"/>
            <w:vAlign w:val="bottom"/>
            <w:tcBorders>
              <w:bottom w:val="single" w:sz="8" w:color="BFE4FF"/>
            </w:tcBorders>
          </w:tcPr>
          <w:p>
            <w:pPr>
              <w:spacing w:after="0"/>
              <w:rPr>
                <w:sz w:val="18"/>
                <w:szCs w:val="18"/>
                <w:color w:val="auto"/>
              </w:rPr>
            </w:pPr>
          </w:p>
        </w:tc>
        <w:tc>
          <w:tcPr>
            <w:tcW w:w="920" w:type="dxa"/>
            <w:vAlign w:val="bottom"/>
            <w:tcBorders>
              <w:bottom w:val="single" w:sz="8" w:color="BFE4FF"/>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7"/>
        </w:trPr>
        <w:tc>
          <w:tcPr>
            <w:tcW w:w="572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574</w:t>
            </w:r>
          </w:p>
        </w:tc>
        <w:tc>
          <w:tcPr>
            <w:tcW w:w="8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9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2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2,493</w:t>
            </w:r>
          </w:p>
        </w:tc>
      </w:tr>
      <w:tr>
        <w:trPr>
          <w:trHeight w:val="284"/>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 (Deficit)</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720" w:type="dxa"/>
            <w:vAlign w:val="bottom"/>
            <w:shd w:val="clear" w:color="auto" w:fill="BFE4FF"/>
          </w:tcPr>
          <w:p>
            <w:pPr>
              <w:ind w:left="140"/>
              <w:spacing w:after="0"/>
              <w:rPr>
                <w:sz w:val="20"/>
                <w:szCs w:val="20"/>
                <w:color w:val="auto"/>
              </w:rPr>
            </w:pPr>
            <w:r>
              <w:rPr>
                <w:rFonts w:ascii="Arial" w:cs="Arial" w:eastAsia="Arial" w:hAnsi="Arial"/>
                <w:sz w:val="16"/>
                <w:szCs w:val="16"/>
                <w:color w:val="auto"/>
              </w:rPr>
              <w:t>Beginning balance</w:t>
            </w:r>
          </w:p>
        </w:tc>
        <w:tc>
          <w:tcPr>
            <w:tcW w:w="13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148,055</w:t>
            </w:r>
          </w:p>
        </w:tc>
        <w:tc>
          <w:tcPr>
            <w:tcW w:w="8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494,286</w:t>
            </w:r>
          </w:p>
        </w:tc>
        <w:tc>
          <w:tcPr>
            <w:tcW w:w="8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60,091</w:t>
            </w: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34,021</w:t>
            </w:r>
          </w:p>
        </w:tc>
      </w:tr>
      <w:tr>
        <w:trPr>
          <w:trHeight w:val="223"/>
        </w:trPr>
        <w:tc>
          <w:tcPr>
            <w:tcW w:w="5720" w:type="dxa"/>
            <w:vAlign w:val="bottom"/>
          </w:tcPr>
          <w:p>
            <w:pPr>
              <w:ind w:left="140"/>
              <w:spacing w:after="0"/>
              <w:rPr>
                <w:sz w:val="20"/>
                <w:szCs w:val="20"/>
                <w:color w:val="auto"/>
              </w:rPr>
            </w:pPr>
            <w:r>
              <w:rPr>
                <w:rFonts w:ascii="Arial" w:cs="Arial" w:eastAsia="Arial" w:hAnsi="Arial"/>
                <w:sz w:val="16"/>
                <w:szCs w:val="16"/>
                <w:color w:val="auto"/>
              </w:rPr>
              <w:t>Ending balance</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1,878,959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81,952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(52,656)</w:t>
            </w: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199390</wp:posOffset>
            </wp:positionV>
            <wp:extent cx="7046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r>
      <w:tr>
        <w:trPr>
          <w:trHeight w:val="158"/>
        </w:trPr>
        <w:tc>
          <w:tcPr>
            <w:tcW w:w="7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ind w:right="59"/>
              <w:spacing w:after="0"/>
              <w:rPr>
                <w:sz w:val="20"/>
                <w:szCs w:val="20"/>
                <w:color w:val="auto"/>
              </w:rPr>
            </w:pPr>
            <w:r>
              <w:rPr>
                <w:rFonts w:ascii="Arial" w:cs="Arial" w:eastAsia="Arial" w:hAnsi="Arial"/>
                <w:sz w:val="13"/>
                <w:szCs w:val="13"/>
                <w:i w:val="1"/>
                <w:iCs w:val="1"/>
                <w:color w:val="auto"/>
              </w:rPr>
              <w:t>(In thousands)</w:t>
            </w:r>
          </w:p>
        </w:tc>
        <w:tc>
          <w:tcPr>
            <w:tcW w:w="1080" w:type="dxa"/>
            <w:vAlign w:val="bottom"/>
          </w:tcPr>
          <w:p>
            <w:pPr>
              <w:spacing w:after="0"/>
              <w:rPr>
                <w:sz w:val="13"/>
                <w:szCs w:val="13"/>
                <w:color w:val="auto"/>
              </w:rPr>
            </w:pPr>
          </w:p>
        </w:tc>
      </w:tr>
      <w:tr>
        <w:trPr>
          <w:trHeight w:val="25"/>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(68,068)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51,682</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income to cash used in operating activities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Equity-based compensation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Amortization of other intangible assets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Amortization of right of use assets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Loss (gain) on fair market value of financial instruments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(60,300)</w:t>
            </w:r>
          </w:p>
        </w:tc>
      </w:tr>
      <w:tr>
        <w:trPr>
          <w:trHeight w:val="217"/>
        </w:trPr>
        <w:tc>
          <w:tcPr>
            <w:tcW w:w="7980" w:type="dxa"/>
            <w:vAlign w:val="bottom"/>
            <w:shd w:val="clear" w:color="auto" w:fill="BFE4FF"/>
          </w:tcPr>
          <w:p>
            <w:pPr>
              <w:ind w:left="240"/>
              <w:spacing w:after="0"/>
              <w:rPr>
                <w:sz w:val="20"/>
                <w:szCs w:val="20"/>
                <w:color w:val="auto"/>
              </w:rPr>
            </w:pPr>
            <w:r>
              <w:rPr>
                <w:rFonts w:ascii="Arial" w:cs="Arial" w:eastAsia="Arial" w:hAnsi="Arial"/>
                <w:sz w:val="16"/>
                <w:szCs w:val="16"/>
                <w:color w:val="auto"/>
              </w:rPr>
              <w:t>Other non-cash adjustments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Prepaid and other assets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(1,350)</w:t>
            </w: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(1,609)</w:t>
            </w:r>
          </w:p>
        </w:tc>
      </w:tr>
      <w:tr>
        <w:trPr>
          <w:trHeight w:val="217"/>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and other liabilities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3,818</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(152)</w:t>
            </w: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Deferred tax liability</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Contract liabilities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Lease liability</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7980" w:type="dxa"/>
            <w:vAlign w:val="bottom"/>
            <w:shd w:val="clear" w:color="auto" w:fill="BFE4FF"/>
          </w:tcPr>
          <w:p>
            <w:pPr>
              <w:ind w:left="360"/>
              <w:spacing w:after="0"/>
              <w:rPr>
                <w:sz w:val="20"/>
                <w:szCs w:val="20"/>
                <w:color w:val="auto"/>
              </w:rPr>
            </w:pPr>
            <w:r>
              <w:rPr>
                <w:rFonts w:ascii="Arial" w:cs="Arial" w:eastAsia="Arial" w:hAnsi="Arial"/>
                <w:sz w:val="16"/>
                <w:szCs w:val="16"/>
                <w:color w:val="auto"/>
              </w:rPr>
              <w:t>Deferred grants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(18,456)</w:t>
            </w:r>
          </w:p>
        </w:tc>
        <w:tc>
          <w:tcPr>
            <w:tcW w:w="100" w:type="dxa"/>
            <w:vAlign w:val="bottom"/>
            <w:tcBorders>
              <w:bottom w:val="single" w:sz="8" w:color="BFE4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Capital expenditures and equipment deposits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(38,641)</w:t>
            </w:r>
          </w:p>
        </w:tc>
        <w:tc>
          <w:tcPr>
            <w:tcW w:w="100" w:type="dxa"/>
            <w:vAlign w:val="bottom"/>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(3,050)</w:t>
            </w:r>
          </w:p>
        </w:tc>
      </w:tr>
      <w:tr>
        <w:trPr>
          <w:trHeight w:val="209"/>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(38,641)</w:t>
            </w:r>
          </w:p>
        </w:tc>
        <w:tc>
          <w:tcPr>
            <w:tcW w:w="100" w:type="dxa"/>
            <w:vAlign w:val="bottom"/>
            <w:tcBorders>
              <w:bottom w:val="single" w:sz="8" w:color="BFE4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w:t>
            </w:r>
          </w:p>
        </w:tc>
      </w:tr>
      <w:tr>
        <w:trPr>
          <w:trHeight w:val="251"/>
        </w:trPr>
        <w:tc>
          <w:tcPr>
            <w:tcW w:w="798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4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500" w:type="dxa"/>
            <w:vAlign w:val="bottom"/>
            <w:shd w:val="clear" w:color="auto" w:fill="BFE4FF"/>
          </w:tcPr>
          <w:p>
            <w:pPr>
              <w:spacing w:after="0"/>
              <w:rPr>
                <w:sz w:val="21"/>
                <w:szCs w:val="21"/>
                <w:color w:val="auto"/>
              </w:rPr>
            </w:pPr>
          </w:p>
        </w:tc>
        <w:tc>
          <w:tcPr>
            <w:tcW w:w="1080" w:type="dxa"/>
            <w:vAlign w:val="bottom"/>
            <w:shd w:val="clear" w:color="auto" w:fill="BFE4FF"/>
          </w:tcPr>
          <w:p>
            <w:pPr>
              <w:spacing w:after="0"/>
              <w:rPr>
                <w:sz w:val="21"/>
                <w:szCs w:val="2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issuance of USARE LLC Preferred units</w:t>
            </w:r>
          </w:p>
        </w:tc>
        <w:tc>
          <w:tcPr>
            <w:tcW w:w="340" w:type="dxa"/>
            <w:vAlign w:val="bottom"/>
            <w:shd w:val="clear" w:color="auto" w:fill="BFE4FF"/>
          </w:tcPr>
          <w:p>
            <w:pPr>
              <w:spacing w:after="0"/>
              <w:rPr>
                <w:sz w:val="18"/>
                <w:szCs w:val="18"/>
                <w:color w:val="auto"/>
              </w:rPr>
            </w:pPr>
          </w:p>
        </w:tc>
        <w:tc>
          <w:tcPr>
            <w:tcW w:w="134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23,250</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Payment of issuance cost for USARE LLC Preferred units</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IPXX contribution of capital through merger</w:t>
            </w:r>
          </w:p>
        </w:tc>
        <w:tc>
          <w:tcPr>
            <w:tcW w:w="340" w:type="dxa"/>
            <w:vAlign w:val="bottom"/>
            <w:shd w:val="clear" w:color="auto" w:fill="BFE4FF"/>
          </w:tcPr>
          <w:p>
            <w:pPr>
              <w:spacing w:after="0"/>
              <w:rPr>
                <w:sz w:val="18"/>
                <w:szCs w:val="18"/>
                <w:color w:val="auto"/>
              </w:rPr>
            </w:pPr>
          </w:p>
        </w:tc>
        <w:tc>
          <w:tcPr>
            <w:tcW w:w="134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22,867</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Prepayment of Forward Purchase Agreements</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(20,789)</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termination of Forward Purchase Agreements</w:t>
            </w:r>
          </w:p>
        </w:tc>
        <w:tc>
          <w:tcPr>
            <w:tcW w:w="340" w:type="dxa"/>
            <w:vAlign w:val="bottom"/>
            <w:shd w:val="clear" w:color="auto" w:fill="BFE4FF"/>
          </w:tcPr>
          <w:p>
            <w:pPr>
              <w:spacing w:after="0"/>
              <w:rPr>
                <w:sz w:val="18"/>
                <w:szCs w:val="18"/>
                <w:color w:val="auto"/>
              </w:rPr>
            </w:pPr>
          </w:p>
        </w:tc>
        <w:tc>
          <w:tcPr>
            <w:tcW w:w="134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3,322</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Payment of securities issuance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(51,003)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(8,281)</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issuance of common stock under PIPE financing</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Proceeds from exercise of warrants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 of revolving credit facility</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Financed leases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BFE4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1,447,146</w:t>
            </w:r>
          </w:p>
        </w:tc>
        <w:tc>
          <w:tcPr>
            <w:tcW w:w="100" w:type="dxa"/>
            <w:vAlign w:val="bottom"/>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19,969</w:t>
            </w:r>
          </w:p>
        </w:tc>
      </w:tr>
      <w:tr>
        <w:trPr>
          <w:trHeight w:val="251"/>
        </w:trPr>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5"/>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Effect of exchange rate differences on cash and cash equivalents</w:t>
            </w:r>
          </w:p>
        </w:tc>
        <w:tc>
          <w:tcPr>
            <w:tcW w:w="340" w:type="dxa"/>
            <w:vAlign w:val="bottom"/>
            <w:tcBorders>
              <w:bottom w:val="single" w:sz="8" w:color="auto"/>
            </w:tcBorders>
            <w:shd w:val="clear" w:color="auto" w:fill="BFE4FF"/>
          </w:tcPr>
          <w:p>
            <w:pPr>
              <w:spacing w:after="0"/>
              <w:rPr>
                <w:sz w:val="18"/>
                <w:szCs w:val="18"/>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1,389,719</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6,590</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359,925</w:t>
            </w:r>
          </w:p>
        </w:tc>
        <w:tc>
          <w:tcPr>
            <w:tcW w:w="100" w:type="dxa"/>
            <w:vAlign w:val="bottom"/>
            <w:tcBorders>
              <w:bottom w:val="single" w:sz="8" w:color="BFE4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16,761</w:t>
            </w:r>
          </w:p>
        </w:tc>
      </w:tr>
      <w:tr>
        <w:trPr>
          <w:trHeight w:val="217"/>
        </w:trPr>
        <w:tc>
          <w:tcPr>
            <w:tcW w:w="79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1,749,644</w:t>
            </w:r>
          </w:p>
        </w:tc>
        <w:tc>
          <w:tcPr>
            <w:tcW w:w="100" w:type="dxa"/>
            <w:vAlign w:val="bottom"/>
            <w:tcBorders>
              <w:bottom w:val="single" w:sz="8" w:color="BFE4FF"/>
            </w:tcBorders>
            <w:shd w:val="clear" w:color="auto" w:fill="BFE4FF"/>
          </w:tcPr>
          <w:p>
            <w:pPr>
              <w:spacing w:after="0"/>
              <w:rPr>
                <w:sz w:val="18"/>
                <w:szCs w:val="18"/>
                <w:color w:val="auto"/>
              </w:rPr>
            </w:pPr>
          </w:p>
        </w:tc>
        <w:tc>
          <w:tcPr>
            <w:tcW w:w="500" w:type="dxa"/>
            <w:vAlign w:val="bottom"/>
            <w:tcBorders>
              <w:bottom w:val="single" w:sz="8" w:color="auto"/>
            </w:tcBorders>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23,351</w:t>
            </w:r>
          </w:p>
        </w:tc>
      </w:tr>
      <w:tr>
        <w:trPr>
          <w:trHeight w:val="46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Purchases of property and equipment in accounts payable and other accrued liabilities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USARE LLC Convertible Preferred unit dividends</w:t>
            </w:r>
          </w:p>
        </w:tc>
        <w:tc>
          <w:tcPr>
            <w:tcW w:w="340" w:type="dxa"/>
            <w:vAlign w:val="bottom"/>
            <w:shd w:val="clear" w:color="auto" w:fill="BFE4FF"/>
          </w:tcPr>
          <w:p>
            <w:pPr>
              <w:spacing w:after="0"/>
              <w:rPr>
                <w:sz w:val="18"/>
                <w:szCs w:val="18"/>
                <w:color w:val="auto"/>
              </w:rPr>
            </w:pPr>
          </w:p>
        </w:tc>
        <w:tc>
          <w:tcPr>
            <w:tcW w:w="134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3,042</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Finance right of use assets obtained in exchange for finance lease liabilities</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1,233</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Non-cash lease liabilities arising from obtaining right of use assets</w:t>
            </w:r>
          </w:p>
        </w:tc>
        <w:tc>
          <w:tcPr>
            <w:tcW w:w="34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427</w:t>
            </w: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199390</wp:posOffset>
            </wp:positionV>
            <wp:extent cx="7046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Organization</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Rare Earth, Inc. (collectively with its subsidiaries, the “Company,” “USARE,” “we,” “us,” or “our”) is building a leading global rare earth value chain, from mine to magnet and beyond. The Company intends to secure, reshore, and grow the materials intelligence and production technologies required to stand up a resilient rare earth industry. This advanced industrial operating system should strengthen supply-chain security for the national defense, manufacturing and technology of the United States (“U.S.”) and its allies. The Company’s plan is to build an integrated platform to encompass the entire rare earth value chain: extraction and separation of rare earth oxides; conversion of oxides into metals, alloys and strip-cast; and production of sintered neodymium-iron-boron (“NdFeB”) permanent magnets, which the Company refers to as neo magnets. This capability should address the supply-chain vulnerabilities created by China’s current dominance of rare earth processing, and metal and magnet manufacturing.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2025, the Company completed two significant transactions: a business combination and an acquisition.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13, 2025, the Company consummated a business combination with USA Rare Earth, LLC pursuant to a Business Combination Agreement with Inflection Point Acquisition Corp. II, as a result of which the Company became a publicly traded corporation listed on Nasdaq under the symbol “USAR.” The transaction was accounted for as a reverse recapitalization, with USA Rare Earth, LLC treated as the accounting acquirer. The historical financial statements of USA Rare Earth, LLC became the historical financial statements of the Company upon consummation of the merger. As a result, the financial statements in this quarterly report reflect (i) the historical operating results of USA Rare Earth, LLC prior to the merger; (ii) the combined results of Inflection Point Acquisition Corp. II and USA Rare Earth, LLC following the close of the merger; (iii) the assets and liabilities of USA Rare Earth, LLC at their historical cost; and (iv) USA Rare Earth, LLC’s equity structure for all periods presented, as affected by the recapitalization presentation after completion of the merger.</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18, 2025, the Company acquired Indian Ocean Rare Metals Pte. Ltd., the parent of Less Common Metals Ltd. (“Less Common Metals”), a rare earth metal and alloy manufacturer based in Cheshire, United Kingdom. The acquisition was accounted for as a business combination and the results of Less Common Metals have been included in the Company’s consolidated financial statements beginning on the acquisition date.</w:t>
      </w:r>
    </w:p>
    <w:p>
      <w:pPr>
        <w:spacing w:after="0" w:line="203"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complete description of both transactions, including the purchase price allocation, assets acquired, liabilities assumed, and related </w:t>
      </w:r>
      <w:hyperlink r:id="rId28">
        <w:r>
          <w:rPr>
            <w:rFonts w:ascii="Arial" w:cs="Arial" w:eastAsia="Arial" w:hAnsi="Arial"/>
            <w:sz w:val="18"/>
            <w:szCs w:val="18"/>
            <w:color w:val="auto"/>
          </w:rPr>
          <w:t>accounting policies, refer to Note 2, “Merger Transaction and Acquisition,” of the Notes to Consolidated Financial Statements in the</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Company's Annual Report on Form 10-K for the fiscal year ended December 31, 2025 (the “2025 Annual Report”) filed with the SEC on</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March 30, 2026.</w:t>
        </w:r>
      </w:hyperlink>
    </w:p>
    <w:p>
      <w:pPr>
        <w:spacing w:after="0" w:line="2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rFonts w:ascii="Arial" w:cs="Arial" w:eastAsia="Arial" w:hAnsi="Arial"/>
          <w:sz w:val="18"/>
          <w:szCs w:val="18"/>
          <w:color w:val="auto"/>
        </w:rPr>
      </w:pPr>
    </w:p>
    <w:p>
      <w:pPr>
        <w:jc w:val="both"/>
        <w:spacing w:after="0" w:line="262" w:lineRule="auto"/>
        <w:rPr>
          <w:sz w:val="20"/>
          <w:szCs w:val="20"/>
          <w:color w:val="auto"/>
        </w:rPr>
      </w:pPr>
      <w:r>
        <w:rPr>
          <w:rFonts w:ascii="Arial" w:cs="Arial" w:eastAsia="Arial" w:hAnsi="Arial"/>
          <w:sz w:val="18"/>
          <w:szCs w:val="18"/>
          <w:color w:val="auto"/>
        </w:rPr>
        <w:t>The accompanying Condensed Consolidated Financial Statements have been prepared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such rules and regulations.</w:t>
      </w:r>
    </w:p>
    <w:p>
      <w:pPr>
        <w:spacing w:after="0" w:line="203" w:lineRule="exact"/>
        <w:rPr>
          <w:rFonts w:ascii="Arial" w:cs="Arial" w:eastAsia="Arial" w:hAnsi="Arial"/>
          <w:sz w:val="18"/>
          <w:szCs w:val="18"/>
          <w:color w:val="auto"/>
        </w:rPr>
      </w:pPr>
    </w:p>
    <w:p>
      <w:pPr>
        <w:jc w:val="both"/>
        <w:spacing w:after="0" w:line="262" w:lineRule="auto"/>
        <w:rPr>
          <w:sz w:val="20"/>
          <w:szCs w:val="20"/>
          <w:color w:val="auto"/>
        </w:rPr>
      </w:pPr>
      <w:r>
        <w:rPr>
          <w:rFonts w:ascii="Arial" w:cs="Arial" w:eastAsia="Arial" w:hAnsi="Arial"/>
          <w:sz w:val="18"/>
          <w:szCs w:val="18"/>
          <w:color w:val="auto"/>
        </w:rPr>
        <w:t>The December 31, 2025 Condensed Consolidated Balance Sheet was derived from audited financial statements and does not include all disclosures, including notes, required by GAAP; however, the Company believes the disclosures included are adequate to make the information presented not misleading. The March 31, 2026 unaudited Condensed Consolidated Financial Statements should be read in conjunction with the audited Consolidated Financial Statements and the notes thereto in the 2025 Annual Report.</w:t>
      </w:r>
    </w:p>
    <w:p>
      <w:pPr>
        <w:spacing w:after="0" w:line="203" w:lineRule="exact"/>
        <w:rPr>
          <w:rFonts w:ascii="Arial" w:cs="Arial" w:eastAsia="Arial" w:hAnsi="Arial"/>
          <w:sz w:val="18"/>
          <w:szCs w:val="18"/>
          <w:color w:val="auto"/>
        </w:rPr>
      </w:pPr>
    </w:p>
    <w:p>
      <w:pPr>
        <w:jc w:val="both"/>
        <w:spacing w:after="0" w:line="268" w:lineRule="auto"/>
        <w:rPr>
          <w:sz w:val="20"/>
          <w:szCs w:val="20"/>
          <w:color w:val="auto"/>
        </w:rPr>
      </w:pPr>
      <w:r>
        <w:rPr>
          <w:rFonts w:ascii="Arial" w:cs="Arial" w:eastAsia="Arial" w:hAnsi="Arial"/>
          <w:sz w:val="18"/>
          <w:szCs w:val="18"/>
          <w:color w:val="auto"/>
        </w:rPr>
        <w:t>The unaudited Condensed Consolidated Financial Statements include all adjustments (consisting of normal recurring adjustments) which, in the opinion of management, are necessary for a fair presentation of the Company’s financial condition, results of operations and cash flows for the periods presented.</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47625</wp:posOffset>
            </wp:positionH>
            <wp:positionV relativeFrom="paragraph">
              <wp:posOffset>420370</wp:posOffset>
            </wp:positionV>
            <wp:extent cx="7046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interim periods are not necessarily indicative of the operating results for the full fiscal year or any future periods. References to a year refer to the Company’s fiscal years ended on December 31 of the specified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as well as variable interest entities (“VIEs”) for which the Company is the primary beneficiary. All intercompany transactions and balances have been eliminated.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assumptions, and judgments that affect the reported amounts of assets and liabilities, the disclosure of contingent assets and liabilities as of the financial statement date and the reported amounts of expenses during the reporting period. Significant estimates include goodwill and other intangible assets arising from business combinations, asset and liability valuations, including earnout and warrant liabilities, deferred taxes and related valuation allowances, and other fair value measurements. These estimates involve inherent uncertainties and the exercise of judgment; therefore, actual results could differ materially from those estimates if assumptions or underlying circumstances change.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description of the Company’s Significant Accounting Policies, please refer to the Company’s 2025 Annual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2024-03,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 Reporting Comprehensive Income (Topic 220): Disaggregation of Income Statement Expenses</w:t>
      </w:r>
      <w:r>
        <w:rPr>
          <w:rFonts w:ascii="Arial" w:cs="Arial" w:eastAsia="Arial" w:hAnsi="Arial"/>
          <w:sz w:val="18"/>
          <w:szCs w:val="18"/>
          <w:color w:val="auto"/>
        </w:rPr>
        <w:t>. This ASU requires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that disaggregate income statement expense line items, including (i) the amounts of purchased inventory, employee compensation, depreciation, amortization, and other related costs and expenses; (ii) a qualitative description of costs and expenses not disaggregated quantitatively; and (iii) the definition and total amount of selling expenses. This ASU is effective for fiscal years beginning after December 15, 2026, and interim periods within fiscal years beginning after December 15, 2027. Early adoption is permitted. The ASU should be applied prospectively; however, retrospective application is permitted for all prior periods presented. The Company is currently evaluating the impact of adopting this ASU on its financial reporting disclosures.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2025, the FASB issued ASU 2025-01,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Clarifying the Effective Date</w:t>
      </w:r>
      <w:r>
        <w:rPr>
          <w:rFonts w:ascii="Arial" w:cs="Arial" w:eastAsia="Arial" w:hAnsi="Arial"/>
          <w:sz w:val="18"/>
          <w:szCs w:val="18"/>
          <w:color w:val="auto"/>
        </w:rPr>
        <w:t>. This ASU amends the effective date of ASU 2024-03 to clarify that all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entities are required to adopt the guidance in annual reporting periods beginning after December 15, 2026, and interim periods within annual reporting periods beginning after December 15, 2027. The Company is currently evaluating the impact of adopting this ASU on its financial reporting disclosures.</w:t>
      </w:r>
    </w:p>
    <w:p>
      <w:pPr>
        <w:spacing w:after="0" w:line="20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In December 2025, the FASB issued ASU 2025-10, </w:t>
      </w:r>
      <w:r>
        <w:rPr>
          <w:rFonts w:ascii="Arial" w:cs="Arial" w:eastAsia="Arial" w:hAnsi="Arial"/>
          <w:sz w:val="18"/>
          <w:szCs w:val="18"/>
          <w:i w:val="1"/>
          <w:iCs w:val="1"/>
          <w:color w:val="auto"/>
        </w:rPr>
        <w:t>Government Grants (Topic 832): Accounting for Government Grants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Entities</w:t>
      </w:r>
      <w:r>
        <w:rPr>
          <w:rFonts w:ascii="Arial" w:cs="Arial" w:eastAsia="Arial" w:hAnsi="Arial"/>
          <w:sz w:val="18"/>
          <w:szCs w:val="18"/>
          <w:color w:val="auto"/>
        </w:rPr>
        <w:t>. This ASU applies to business entities that receive government grants and addresses the accounting for cash and non-monetary grants, including forgivable loans, while excluding tax abatements, income tax credits, and exchange transactions. The ASU requires recognition of government grants when there is reasonable assurance that the entity will comply with the conditions attached to the grants and the grants will be received. The amendments permit income</w:t>
      </w:r>
      <w:r>
        <w:rPr>
          <w:rFonts w:ascii="MS PGothic" w:cs="MS PGothic" w:eastAsia="MS PGothic" w:hAnsi="MS PGothic"/>
          <w:sz w:val="18"/>
          <w:szCs w:val="18"/>
          <w:color w:val="auto"/>
        </w:rPr>
        <w:t>‑</w:t>
      </w:r>
      <w:r>
        <w:rPr>
          <w:rFonts w:ascii="Arial" w:cs="Arial" w:eastAsia="Arial" w:hAnsi="Arial"/>
          <w:sz w:val="18"/>
          <w:szCs w:val="18"/>
          <w:color w:val="auto"/>
        </w:rPr>
        <w:t>related grants to be presented as either other income or a reduction of related expenses, and asset</w:t>
      </w:r>
      <w:r>
        <w:rPr>
          <w:rFonts w:ascii="MS PGothic" w:cs="MS PGothic" w:eastAsia="MS PGothic" w:hAnsi="MS PGothic"/>
          <w:sz w:val="18"/>
          <w:szCs w:val="18"/>
          <w:color w:val="auto"/>
        </w:rPr>
        <w:t>‑</w:t>
      </w:r>
      <w:r>
        <w:rPr>
          <w:rFonts w:ascii="Arial" w:cs="Arial" w:eastAsia="Arial" w:hAnsi="Arial"/>
          <w:sz w:val="18"/>
          <w:szCs w:val="18"/>
          <w:color w:val="auto"/>
        </w:rPr>
        <w:t>related grants to be recorded as deferred income or as a reduction of the asset’s cost basis. This ASU is effective for fiscal years beginning after December 15, 2028, and interim periods within those fiscal years, with early adoption permitted. The ASU may be applied using a modified prospective, modified retrospective, or full retrospective approach. The Company is currently evaluating the impact of adopting this ASU on its financial reporting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436880</wp:posOffset>
            </wp:positionV>
            <wp:extent cx="7046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which improves and clarifies interim reporting requirements under U.S. GAAP. The ASU compiles required interim disclosures, including disclosure of material changes since the last annual reporting period, to improve consistency and navigability. This ASU is effective for fiscal years beginning after December 15, 2027, and interim periods within those fiscal years, with early adoption permitted. The ASU should be applied prospectively, although retrospective application is permitted for all prior periods presented. The Company is currently evaluating the impact of adopting this ASU on its financial reporting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Fair Value Measurements</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U.S. GAAP defines fair value as the price that would be received to sell an asset or be paid to transfer a liability in an orderly transaction between market participants at the measurement date (exit price), and establishes a fair value hierarchy that prioritizes the inputs used to measure fair value using the following definitions (from highest to lowest priority):</w:t>
      </w:r>
    </w:p>
    <w:p>
      <w:pPr>
        <w:spacing w:after="0" w:line="198" w:lineRule="exact"/>
        <w:rPr>
          <w:sz w:val="20"/>
          <w:szCs w:val="20"/>
          <w:color w:val="auto"/>
        </w:rPr>
      </w:pPr>
    </w:p>
    <w:p>
      <w:pPr>
        <w:ind w:left="660" w:right="660" w:hanging="328"/>
        <w:spacing w:after="0" w:line="28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1" w:lineRule="exact"/>
        <w:rPr>
          <w:rFonts w:ascii="Arial" w:cs="Arial" w:eastAsia="Arial" w:hAnsi="Arial"/>
          <w:sz w:val="18"/>
          <w:szCs w:val="18"/>
          <w:color w:val="auto"/>
        </w:rPr>
      </w:pPr>
    </w:p>
    <w:p>
      <w:pPr>
        <w:jc w:val="both"/>
        <w:ind w:left="660" w:right="640" w:hanging="328"/>
        <w:spacing w:after="0" w:line="262"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4" w:lineRule="exact"/>
        <w:rPr>
          <w:rFonts w:ascii="Arial" w:cs="Arial" w:eastAsia="Arial" w:hAnsi="Arial"/>
          <w:sz w:val="18"/>
          <w:szCs w:val="18"/>
          <w:color w:val="auto"/>
        </w:rPr>
      </w:pPr>
    </w:p>
    <w:p>
      <w:pPr>
        <w:ind w:left="660" w:right="66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Prices or valuation techniques requiring inputs that are both significant to the fair-value measurement and unobservable.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 and Level 2 Fair Value of Financial Instruments on a Recurring Basis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the Company’s Level 1 and Level 2 financial assets measured at fair value on a recurring basis, including pricing category, amortized cost, gross unrealized gains and losses, and fair value. The Company has no Level 1 and Level 2 financial liabilities measured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March 31, 2026</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2025</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Pricing</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6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w w:val="98"/>
              </w:rPr>
              <w:t>Gross</w:t>
            </w:r>
          </w:p>
        </w:tc>
        <w:tc>
          <w:tcPr>
            <w:tcW w:w="9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Gross</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60" w:type="dxa"/>
            <w:vAlign w:val="bottom"/>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w w:val="98"/>
              </w:rPr>
              <w:t>Gross</w:t>
            </w:r>
          </w:p>
        </w:tc>
        <w:tc>
          <w:tcPr>
            <w:tcW w:w="9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Gross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98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Category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Losses</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Losses</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5"/>
          </w:tcPr>
          <w:p>
            <w:pPr>
              <w:ind w:left="6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Money market funds</w:t>
            </w:r>
          </w:p>
        </w:tc>
        <w:tc>
          <w:tcPr>
            <w:tcW w:w="940" w:type="dxa"/>
            <w:vAlign w:val="bottom"/>
            <w:gridSpan w:val="2"/>
            <w:shd w:val="clear" w:color="auto" w:fill="BFE4FF"/>
          </w:tcPr>
          <w:p>
            <w:pPr>
              <w:jc w:val="center"/>
              <w:ind w:right="100"/>
              <w:spacing w:after="0"/>
              <w:rPr>
                <w:sz w:val="20"/>
                <w:szCs w:val="20"/>
                <w:color w:val="auto"/>
              </w:rPr>
            </w:pPr>
            <w:r>
              <w:rPr>
                <w:rFonts w:ascii="Arial" w:cs="Arial" w:eastAsia="Arial" w:hAnsi="Arial"/>
                <w:sz w:val="16"/>
                <w:szCs w:val="16"/>
                <w:color w:val="auto"/>
              </w:rPr>
              <w:t>Level 1</w:t>
            </w:r>
          </w:p>
        </w:tc>
        <w:tc>
          <w:tcPr>
            <w:tcW w:w="980" w:type="dxa"/>
            <w:vAlign w:val="bottom"/>
            <w:shd w:val="clear" w:color="auto" w:fill="BFE4FF"/>
          </w:tcPr>
          <w:p>
            <w:pPr>
              <w:jc w:val="right"/>
              <w:ind w:right="5"/>
              <w:spacing w:after="0"/>
              <w:rPr>
                <w:sz w:val="20"/>
                <w:szCs w:val="20"/>
                <w:color w:val="auto"/>
              </w:rPr>
            </w:pPr>
            <w:r>
              <w:rPr>
                <w:rFonts w:ascii="Arial" w:cs="Arial" w:eastAsia="Arial" w:hAnsi="Arial"/>
                <w:sz w:val="16"/>
                <w:szCs w:val="16"/>
                <w:color w:val="auto"/>
              </w:rPr>
              <w:t>$ 1,741,462</w:t>
            </w: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BFE4FF"/>
          </w:tcPr>
          <w:p>
            <w:pPr>
              <w:ind w:left="620"/>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BFE4FF"/>
          </w:tcPr>
          <w:p>
            <w:pPr>
              <w:ind w:left="6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8"/>
              <w:spacing w:after="0"/>
              <w:rPr>
                <w:sz w:val="20"/>
                <w:szCs w:val="20"/>
                <w:color w:val="auto"/>
              </w:rPr>
            </w:pPr>
            <w:r>
              <w:rPr>
                <w:rFonts w:ascii="Arial" w:cs="Arial" w:eastAsia="Arial" w:hAnsi="Arial"/>
                <w:sz w:val="16"/>
                <w:szCs w:val="16"/>
                <w:color w:val="auto"/>
              </w:rPr>
              <w:t>$ 1,741,462</w:t>
            </w:r>
          </w:p>
        </w:tc>
        <w:tc>
          <w:tcPr>
            <w:tcW w:w="8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FE4FF"/>
          </w:tcPr>
          <w:p>
            <w:pPr>
              <w:ind w:left="200"/>
              <w:spacing w:after="0"/>
              <w:rPr>
                <w:sz w:val="20"/>
                <w:szCs w:val="20"/>
                <w:color w:val="auto"/>
              </w:rPr>
            </w:pPr>
            <w:r>
              <w:rPr>
                <w:rFonts w:ascii="Arial" w:cs="Arial" w:eastAsia="Arial" w:hAnsi="Arial"/>
                <w:sz w:val="16"/>
                <w:szCs w:val="16"/>
                <w:color w:val="auto"/>
              </w:rPr>
              <w:t>353,841</w:t>
            </w: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BFE4FF"/>
          </w:tcPr>
          <w:p>
            <w:pPr>
              <w:ind w:left="620"/>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BFE4FF"/>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BFE4FF"/>
          </w:tcPr>
          <w:p>
            <w:pPr>
              <w:jc w:val="right"/>
              <w:ind w:right="4"/>
              <w:spacing w:after="0"/>
              <w:rPr>
                <w:sz w:val="20"/>
                <w:szCs w:val="20"/>
                <w:color w:val="auto"/>
              </w:rPr>
            </w:pPr>
            <w:r>
              <w:rPr>
                <w:rFonts w:ascii="Arial" w:cs="Arial" w:eastAsia="Arial" w:hAnsi="Arial"/>
                <w:sz w:val="16"/>
                <w:szCs w:val="16"/>
                <w:color w:val="auto"/>
              </w:rPr>
              <w:t>$   353,841</w:t>
            </w:r>
          </w:p>
        </w:tc>
        <w:tc>
          <w:tcPr>
            <w:tcW w:w="0" w:type="dxa"/>
            <w:vAlign w:val="bottom"/>
          </w:tcPr>
          <w:p>
            <w:pPr>
              <w:spacing w:after="0"/>
              <w:rPr>
                <w:sz w:val="1"/>
                <w:szCs w:val="1"/>
                <w:color w:val="auto"/>
              </w:rPr>
            </w:pPr>
          </w:p>
        </w:tc>
      </w:tr>
      <w:tr>
        <w:trPr>
          <w:trHeight w:val="28"/>
        </w:trPr>
        <w:tc>
          <w:tcPr>
            <w:tcW w:w="184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of Financial Instruments on a Recurring Basis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Company’s Level 3 financial liabilities measured at fair value on a recurring basis. The Company has no Level 3 financial assets measured at fair value on a recurring basis.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260" w:type="dxa"/>
            <w:vAlign w:val="bottom"/>
          </w:tcPr>
          <w:p>
            <w:pPr>
              <w:jc w:val="right"/>
              <w:ind w:right="24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r>
      <w:tr>
        <w:trPr>
          <w:trHeight w:val="163"/>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i w:val="1"/>
                <w:iCs w:val="1"/>
                <w:color w:val="auto"/>
              </w:rPr>
              <w:t>(In thousands)</w:t>
            </w:r>
          </w:p>
        </w:tc>
        <w:tc>
          <w:tcPr>
            <w:tcW w:w="1260" w:type="dxa"/>
            <w:vAlign w:val="bottom"/>
          </w:tcPr>
          <w:p>
            <w:pPr>
              <w:spacing w:after="0"/>
              <w:rPr>
                <w:sz w:val="14"/>
                <w:szCs w:val="14"/>
                <w:color w:val="auto"/>
              </w:rPr>
            </w:pP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Earnout liability</w:t>
            </w:r>
          </w:p>
        </w:tc>
        <w:tc>
          <w:tcPr>
            <w:tcW w:w="2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145,080</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BFE4FF"/>
          </w:tcPr>
          <w:p>
            <w:pPr>
              <w:jc w:val="right"/>
              <w:ind w:right="3"/>
              <w:spacing w:after="0"/>
              <w:rPr>
                <w:sz w:val="20"/>
                <w:szCs w:val="20"/>
                <w:color w:val="auto"/>
              </w:rPr>
            </w:pPr>
            <w:r>
              <w:rPr>
                <w:rFonts w:ascii="Arial" w:cs="Arial" w:eastAsia="Arial" w:hAnsi="Arial"/>
                <w:sz w:val="16"/>
                <w:szCs w:val="16"/>
                <w:color w:val="auto"/>
              </w:rPr>
              <w:t>108,671</w:t>
            </w:r>
          </w:p>
        </w:tc>
      </w:tr>
      <w:tr>
        <w:trPr>
          <w:trHeight w:val="215"/>
        </w:trPr>
        <w:tc>
          <w:tcPr>
            <w:tcW w:w="7980" w:type="dxa"/>
            <w:vAlign w:val="bottom"/>
            <w:tcBorders>
              <w:bottom w:val="single" w:sz="8" w:color="BFE4FF"/>
            </w:tcBorders>
            <w:gridSpan w:val="2"/>
          </w:tcPr>
          <w:p>
            <w:pPr>
              <w:ind w:left="20"/>
              <w:spacing w:after="0"/>
              <w:rPr>
                <w:sz w:val="20"/>
                <w:szCs w:val="20"/>
                <w:color w:val="auto"/>
              </w:rPr>
            </w:pPr>
            <w:r>
              <w:rPr>
                <w:rFonts w:ascii="Arial" w:cs="Arial" w:eastAsia="Arial" w:hAnsi="Arial"/>
                <w:sz w:val="16"/>
                <w:szCs w:val="16"/>
                <w:color w:val="auto"/>
              </w:rPr>
              <w:t>Warrant liability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26,491</w:t>
            </w:r>
          </w:p>
        </w:tc>
        <w:tc>
          <w:tcPr>
            <w:tcW w:w="10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19,534</w:t>
            </w:r>
          </w:p>
        </w:tc>
      </w:tr>
      <w:tr>
        <w:trPr>
          <w:trHeight w:val="217"/>
        </w:trPr>
        <w:tc>
          <w:tcPr>
            <w:tcW w:w="79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Total earnout and warrant liabilities</w:t>
            </w:r>
          </w:p>
        </w:tc>
        <w:tc>
          <w:tcPr>
            <w:tcW w:w="260" w:type="dxa"/>
            <w:vAlign w:val="bottom"/>
            <w:tcBorders>
              <w:bottom w:val="single" w:sz="8" w:color="auto"/>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171,571</w:t>
            </w:r>
          </w:p>
        </w:tc>
        <w:tc>
          <w:tcPr>
            <w:tcW w:w="100" w:type="dxa"/>
            <w:vAlign w:val="bottom"/>
            <w:tcBorders>
              <w:bottom w:val="single" w:sz="8" w:color="BFE4FF"/>
            </w:tcBorders>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BFE4FF"/>
          </w:tcPr>
          <w:p>
            <w:pPr>
              <w:jc w:val="right"/>
              <w:ind w:right="3"/>
              <w:spacing w:after="0"/>
              <w:rPr>
                <w:sz w:val="20"/>
                <w:szCs w:val="20"/>
                <w:color w:val="auto"/>
              </w:rPr>
            </w:pPr>
            <w:r>
              <w:rPr>
                <w:rFonts w:ascii="Arial" w:cs="Arial" w:eastAsia="Arial" w:hAnsi="Arial"/>
                <w:sz w:val="16"/>
                <w:szCs w:val="16"/>
                <w:color w:val="auto"/>
              </w:rPr>
              <w:t>128,205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334010</wp:posOffset>
            </wp:positionV>
            <wp:extent cx="7046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Valuation and Reconciliation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Liability</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valued the earnout liability using a Monte Carlo simulation which includes Level 3 unobservable inputs. The following table summarizes the significant inputs used to value the earnout liability as of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BFE4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BFE4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209"/>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Share price</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BFE4FF"/>
          </w:tcPr>
          <w:p>
            <w:pPr>
              <w:spacing w:after="0"/>
              <w:rPr>
                <w:sz w:val="18"/>
                <w:szCs w:val="18"/>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8"/>
              </w:rPr>
              <w:t>$11.90</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70.1%</w:t>
            </w:r>
          </w:p>
        </w:tc>
      </w:tr>
      <w:tr>
        <w:trPr>
          <w:trHeight w:val="217"/>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Risk-free interest rate</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BFE4FF"/>
          </w:tcPr>
          <w:p>
            <w:pPr>
              <w:spacing w:after="0"/>
              <w:rPr>
                <w:sz w:val="18"/>
                <w:szCs w:val="18"/>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3.70%</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Remaining term (in years)</w:t>
            </w: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5.0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5.2</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the earnout liability measured at fair value on a recurring basis for the dates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9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r>
      <w:tr>
        <w:trPr>
          <w:trHeight w:val="163"/>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2"/>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Balance, beginning of period</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108,671</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gridSpan w:val="2"/>
          </w:tcPr>
          <w:p>
            <w:pPr>
              <w:ind w:left="140"/>
              <w:spacing w:after="0"/>
              <w:rPr>
                <w:sz w:val="20"/>
                <w:szCs w:val="20"/>
                <w:color w:val="auto"/>
              </w:rPr>
            </w:pPr>
            <w:r>
              <w:rPr>
                <w:rFonts w:ascii="Arial" w:cs="Arial" w:eastAsia="Arial" w:hAnsi="Arial"/>
                <w:sz w:val="16"/>
                <w:szCs w:val="16"/>
                <w:color w:val="auto"/>
              </w:rPr>
              <w:t>Establishment of liability at March 13, 2025</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99,639</w:t>
            </w:r>
          </w:p>
        </w:tc>
      </w:tr>
      <w:tr>
        <w:trPr>
          <w:trHeight w:val="217"/>
        </w:trPr>
        <w:tc>
          <w:tcPr>
            <w:tcW w:w="7980" w:type="dxa"/>
            <w:vAlign w:val="bottom"/>
            <w:gridSpan w:val="2"/>
            <w:shd w:val="clear" w:color="auto" w:fill="BFE4FF"/>
          </w:tcPr>
          <w:p>
            <w:pPr>
              <w:ind w:left="140"/>
              <w:spacing w:after="0" w:line="217" w:lineRule="exact"/>
              <w:rPr>
                <w:sz w:val="20"/>
                <w:szCs w:val="20"/>
                <w:color w:val="auto"/>
              </w:rPr>
            </w:pPr>
            <w:r>
              <w:rPr>
                <w:rFonts w:ascii="Arial" w:cs="Arial" w:eastAsia="Arial" w:hAnsi="Arial"/>
                <w:sz w:val="16"/>
                <w:szCs w:val="16"/>
                <w:color w:val="auto"/>
              </w:rPr>
              <w:t xml:space="preserve">Change in estimated fair value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36,409</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9,032</w:t>
            </w:r>
          </w:p>
        </w:tc>
      </w:tr>
      <w:tr>
        <w:trPr>
          <w:trHeight w:val="217"/>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Balance,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108,671</w:t>
            </w:r>
          </w:p>
        </w:tc>
      </w:tr>
      <w:tr>
        <w:trPr>
          <w:trHeight w:val="94"/>
        </w:trPr>
        <w:tc>
          <w:tcPr>
            <w:tcW w:w="96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121" w:lineRule="exact"/>
        <w:rPr>
          <w:sz w:val="20"/>
          <w:szCs w:val="20"/>
          <w:color w:val="auto"/>
        </w:rPr>
      </w:pPr>
    </w:p>
    <w:p>
      <w:pPr>
        <w:ind w:left="340" w:hanging="332"/>
        <w:spacing w:after="0" w:line="227" w:lineRule="auto"/>
        <w:tabs>
          <w:tab w:leader="none" w:pos="36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 xml:space="preserve">Change in estimated fair value is recognized in </w:t>
      </w:r>
      <w:r>
        <w:rPr>
          <w:rFonts w:ascii="Arial" w:cs="Arial" w:eastAsia="Arial" w:hAnsi="Arial"/>
          <w:sz w:val="16"/>
          <w:szCs w:val="16"/>
          <w:i w:val="1"/>
          <w:iCs w:val="1"/>
          <w:color w:val="auto"/>
        </w:rPr>
        <w:t>(Loss) gain on fair market value of financial instruments, net</w:t>
      </w:r>
      <w:r>
        <w:rPr>
          <w:rFonts w:ascii="Arial" w:cs="Arial" w:eastAsia="Arial" w:hAnsi="Arial"/>
          <w:sz w:val="16"/>
          <w:szCs w:val="16"/>
          <w:color w:val="auto"/>
        </w:rPr>
        <w:t xml:space="preserve"> in the Condensed Consolidated Statements of Operations and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 valued the Series A Warrant liability using a Monte Carlo simulation which includes Level 3 unobservable inputs. The following table summarizes the significant inputs used to value the Series A Warrant liability as of the dates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Borders>
              <w:bottom w:val="single" w:sz="8" w:color="BFE4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BFE4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210"/>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Share price</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BFE4FF"/>
          </w:tcPr>
          <w:p>
            <w:pPr>
              <w:spacing w:after="0"/>
              <w:rPr>
                <w:sz w:val="18"/>
                <w:szCs w:val="18"/>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98"/>
              </w:rPr>
              <w:t>$11.90</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Exercise price</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$7.00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$7.00</w:t>
            </w:r>
          </w:p>
        </w:tc>
      </w:tr>
      <w:tr>
        <w:trPr>
          <w:trHeight w:val="217"/>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Expected volatility</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BFE4FF"/>
          </w:tcPr>
          <w:p>
            <w:pPr>
              <w:spacing w:after="0"/>
              <w:rPr>
                <w:sz w:val="18"/>
                <w:szCs w:val="18"/>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67.3%</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3.8%</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3.6%</w:t>
            </w:r>
          </w:p>
        </w:tc>
      </w:tr>
      <w:tr>
        <w:trPr>
          <w:trHeight w:val="217"/>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Dividend yield</w:t>
            </w:r>
          </w:p>
        </w:tc>
        <w:tc>
          <w:tcPr>
            <w:tcW w:w="1660" w:type="dxa"/>
            <w:vAlign w:val="bottom"/>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Put term (in years)</w:t>
            </w: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4.0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497840</wp:posOffset>
            </wp:positionV>
            <wp:extent cx="70465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reconciliation of the Series A Warrant liability measured at fair value on a recurring basis for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r>
      <w:tr>
        <w:trPr>
          <w:trHeight w:val="163"/>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2"/>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Balance, beginning of period</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19,534</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gridSpan w:val="2"/>
          </w:tcPr>
          <w:p>
            <w:pPr>
              <w:ind w:left="140"/>
              <w:spacing w:after="0"/>
              <w:rPr>
                <w:sz w:val="20"/>
                <w:szCs w:val="20"/>
                <w:color w:val="auto"/>
              </w:rPr>
            </w:pPr>
            <w:r>
              <w:rPr>
                <w:rFonts w:ascii="Arial" w:cs="Arial" w:eastAsia="Arial" w:hAnsi="Arial"/>
                <w:sz w:val="16"/>
                <w:szCs w:val="16"/>
                <w:color w:val="auto"/>
              </w:rPr>
              <w:t>Establishment of liability at March 13, 2025</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40,652</w:t>
            </w:r>
          </w:p>
        </w:tc>
      </w:tr>
      <w:tr>
        <w:trPr>
          <w:trHeight w:val="217"/>
        </w:trPr>
        <w:tc>
          <w:tcPr>
            <w:tcW w:w="7980" w:type="dxa"/>
            <w:vAlign w:val="bottom"/>
            <w:gridSpan w:val="2"/>
            <w:shd w:val="clear" w:color="auto" w:fill="BFE4FF"/>
          </w:tcPr>
          <w:p>
            <w:pPr>
              <w:ind w:left="140"/>
              <w:spacing w:after="0" w:line="217" w:lineRule="exact"/>
              <w:rPr>
                <w:sz w:val="20"/>
                <w:szCs w:val="20"/>
                <w:color w:val="auto"/>
              </w:rPr>
            </w:pPr>
            <w:r>
              <w:rPr>
                <w:rFonts w:ascii="Arial" w:cs="Arial" w:eastAsia="Arial" w:hAnsi="Arial"/>
                <w:sz w:val="16"/>
                <w:szCs w:val="16"/>
                <w:color w:val="auto"/>
              </w:rPr>
              <w:t xml:space="preserve">Change in estimated fair value </w:t>
            </w:r>
            <w:r>
              <w:rPr>
                <w:rFonts w:ascii="Arial" w:cs="Arial" w:eastAsia="Arial" w:hAnsi="Arial"/>
                <w:sz w:val="21"/>
                <w:szCs w:val="21"/>
                <w:color w:val="auto"/>
                <w:vertAlign w:val="superscript"/>
              </w:rPr>
              <w:t>(1)</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7,144</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37,549</w:t>
            </w:r>
          </w:p>
        </w:tc>
      </w:tr>
      <w:tr>
        <w:trPr>
          <w:trHeight w:val="215"/>
        </w:trPr>
        <w:tc>
          <w:tcPr>
            <w:tcW w:w="7980" w:type="dxa"/>
            <w:vAlign w:val="bottom"/>
            <w:tcBorders>
              <w:bottom w:val="single" w:sz="8" w:color="BFE4FF"/>
            </w:tcBorders>
            <w:gridSpan w:val="2"/>
          </w:tcPr>
          <w:p>
            <w:pPr>
              <w:ind w:left="140"/>
              <w:spacing w:after="0"/>
              <w:rPr>
                <w:sz w:val="20"/>
                <w:szCs w:val="20"/>
                <w:color w:val="auto"/>
              </w:rPr>
            </w:pPr>
            <w:r>
              <w:rPr>
                <w:rFonts w:ascii="Arial" w:cs="Arial" w:eastAsia="Arial" w:hAnsi="Arial"/>
                <w:sz w:val="16"/>
                <w:szCs w:val="16"/>
                <w:color w:val="auto"/>
              </w:rPr>
              <w:t>Warrant exercises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(58,667)</w:t>
            </w:r>
          </w:p>
        </w:tc>
      </w:tr>
      <w:tr>
        <w:trPr>
          <w:trHeight w:val="217"/>
        </w:trPr>
        <w:tc>
          <w:tcPr>
            <w:tcW w:w="798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Balance, end of period</w:t>
            </w:r>
          </w:p>
        </w:tc>
        <w:tc>
          <w:tcPr>
            <w:tcW w:w="2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26,491</w:t>
            </w:r>
          </w:p>
        </w:tc>
        <w:tc>
          <w:tcPr>
            <w:tcW w:w="10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19,534</w:t>
            </w:r>
          </w:p>
        </w:tc>
      </w:tr>
      <w:tr>
        <w:trPr>
          <w:trHeight w:val="108"/>
        </w:trPr>
        <w:tc>
          <w:tcPr>
            <w:tcW w:w="960" w:type="dxa"/>
            <w:vAlign w:val="bottom"/>
            <w:tcBorders>
              <w:bottom w:val="single" w:sz="8" w:color="auto"/>
            </w:tcBorders>
          </w:tcPr>
          <w:p>
            <w:pPr>
              <w:spacing w:after="0"/>
              <w:rPr>
                <w:sz w:val="9"/>
                <w:szCs w:val="9"/>
                <w:color w:val="auto"/>
              </w:rPr>
            </w:pPr>
          </w:p>
        </w:tc>
        <w:tc>
          <w:tcPr>
            <w:tcW w:w="7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r>
    </w:tbl>
    <w:p>
      <w:pPr>
        <w:spacing w:after="0" w:line="107" w:lineRule="exact"/>
        <w:rPr>
          <w:sz w:val="20"/>
          <w:szCs w:val="20"/>
          <w:color w:val="auto"/>
        </w:rPr>
      </w:pPr>
    </w:p>
    <w:p>
      <w:pPr>
        <w:ind w:left="340" w:hanging="332"/>
        <w:spacing w:after="0" w:line="235" w:lineRule="auto"/>
        <w:tabs>
          <w:tab w:leader="none" w:pos="36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 xml:space="preserve">Change in estimated fair value is recognized in </w:t>
      </w:r>
      <w:r>
        <w:rPr>
          <w:rFonts w:ascii="Arial" w:cs="Arial" w:eastAsia="Arial" w:hAnsi="Arial"/>
          <w:sz w:val="16"/>
          <w:szCs w:val="16"/>
          <w:i w:val="1"/>
          <w:iCs w:val="1"/>
          <w:color w:val="auto"/>
        </w:rPr>
        <w:t>(Loss) gain on fair market value of financial instruments, net</w:t>
      </w:r>
      <w:r>
        <w:rPr>
          <w:rFonts w:ascii="Arial" w:cs="Arial" w:eastAsia="Arial" w:hAnsi="Arial"/>
          <w:sz w:val="16"/>
          <w:szCs w:val="16"/>
          <w:color w:val="auto"/>
        </w:rPr>
        <w:t xml:space="preserve"> in the Condensed Consolidated Statements of Operations and Comprehensive (Loss) Income.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12" w:lineRule="exact"/>
        <w:rPr>
          <w:sz w:val="20"/>
          <w:szCs w:val="20"/>
          <w:color w:val="auto"/>
        </w:rPr>
      </w:pPr>
    </w:p>
    <w:p>
      <w:pPr>
        <w:spacing w:after="0" w:line="247" w:lineRule="exact"/>
        <w:rPr>
          <w:sz w:val="20"/>
          <w:szCs w:val="20"/>
          <w:color w:val="auto"/>
        </w:rPr>
      </w:pPr>
      <w:r>
        <w:rPr>
          <w:rFonts w:ascii="Arial" w:cs="Arial" w:eastAsia="Arial" w:hAnsi="Arial"/>
          <w:sz w:val="18"/>
          <w:szCs w:val="18"/>
          <w:color w:val="auto"/>
        </w:rPr>
        <w:t>Inventories consist of materials, labor, and manufacturing overhead and are stated at the lower of weighted</w:t>
      </w:r>
      <w:r>
        <w:rPr>
          <w:rFonts w:ascii="MS PGothic" w:cs="MS PGothic" w:eastAsia="MS PGothic" w:hAnsi="MS PGothic"/>
          <w:sz w:val="18"/>
          <w:szCs w:val="18"/>
          <w:color w:val="auto"/>
        </w:rPr>
        <w:t>‑</w:t>
      </w:r>
      <w:r>
        <w:rPr>
          <w:rFonts w:ascii="Arial" w:cs="Arial" w:eastAsia="Arial" w:hAnsi="Arial"/>
          <w:sz w:val="18"/>
          <w:szCs w:val="18"/>
          <w:color w:val="auto"/>
        </w:rPr>
        <w:t>average cost or net realizable value. The following table presents inventories as of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r>
      <w:tr>
        <w:trPr>
          <w:trHeight w:val="163"/>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2"/>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16,532</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772</w:t>
            </w: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2,692</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1,231</w:t>
            </w:r>
          </w:p>
        </w:tc>
      </w:tr>
      <w:tr>
        <w:trPr>
          <w:trHeight w:val="217"/>
        </w:trPr>
        <w:tc>
          <w:tcPr>
            <w:tcW w:w="7980" w:type="dxa"/>
            <w:vAlign w:val="bottom"/>
          </w:tcPr>
          <w:p>
            <w:pPr>
              <w:ind w:left="140"/>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18,535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and Other Current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prepaid expenses and other current assets as of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163"/>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1"/>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Prepaid insurance</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1,691</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728</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Grants receivable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receivables</w:t>
            </w:r>
          </w:p>
        </w:tc>
        <w:tc>
          <w:tcPr>
            <w:tcW w:w="280" w:type="dxa"/>
            <w:vAlign w:val="bottom"/>
            <w:shd w:val="clear" w:color="auto" w:fill="BFE4FF"/>
          </w:tcPr>
          <w:p>
            <w:pPr>
              <w:spacing w:after="0"/>
              <w:rPr>
                <w:sz w:val="18"/>
                <w:szCs w:val="18"/>
                <w:color w:val="auto"/>
              </w:rPr>
            </w:pPr>
          </w:p>
        </w:tc>
        <w:tc>
          <w:tcPr>
            <w:tcW w:w="140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286</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Engineering and consulting costs</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2,137</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Supplier advances</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Total prepaid and other current assets</w:t>
            </w:r>
          </w:p>
        </w:tc>
        <w:tc>
          <w:tcPr>
            <w:tcW w:w="2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6,621</w:t>
            </w:r>
          </w:p>
        </w:tc>
        <w:tc>
          <w:tcPr>
            <w:tcW w:w="10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3,151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334645</wp:posOffset>
            </wp:positionV>
            <wp:extent cx="7046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 Net</w:t>
      </w:r>
    </w:p>
    <w:p>
      <w:pPr>
        <w:spacing w:after="0" w:line="261"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color w:val="auto"/>
        </w:rPr>
        <w:t>The following table presents the components of the Company’s property, plant and equipment, net, as of the dates indicated. Property, plant and equipment balances include the effects of foreign currency translation adjustments related to the Company’s non</w:t>
      </w:r>
      <w:r>
        <w:rPr>
          <w:rFonts w:ascii="MS PGothic" w:cs="MS PGothic" w:eastAsia="MS PGothic" w:hAnsi="MS PGothic"/>
          <w:sz w:val="18"/>
          <w:szCs w:val="18"/>
          <w:color w:val="auto"/>
        </w:rPr>
        <w:t>‑</w:t>
      </w:r>
      <w:r>
        <w:rPr>
          <w:rFonts w:ascii="Arial" w:cs="Arial" w:eastAsia="Arial" w:hAnsi="Arial"/>
          <w:sz w:val="18"/>
          <w:szCs w:val="18"/>
          <w:color w:val="auto"/>
        </w:rPr>
        <w:t xml:space="preserve">U.S. operations, which are recorded in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on the accompanying Condensed Consolidated Balance Sheet.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9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r>
      <w:tr>
        <w:trPr>
          <w:trHeight w:val="163"/>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0"/>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707</w:t>
            </w:r>
          </w:p>
        </w:tc>
      </w:tr>
      <w:tr>
        <w:trPr>
          <w:trHeight w:val="215"/>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Land improvements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7"/>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Buildings</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7,038</w:t>
            </w:r>
          </w:p>
        </w:tc>
      </w:tr>
      <w:tr>
        <w:trPr>
          <w:trHeight w:val="215"/>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Building improvements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217"/>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Manufacturing equipment</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16,989</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12,404</w:t>
            </w:r>
          </w:p>
        </w:tc>
      </w:tr>
      <w:tr>
        <w:trPr>
          <w:trHeight w:val="215"/>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Lab equipment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3,724</w:t>
            </w:r>
          </w:p>
        </w:tc>
      </w:tr>
      <w:tr>
        <w:trPr>
          <w:trHeight w:val="217"/>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795</w:t>
            </w:r>
          </w:p>
        </w:tc>
      </w:tr>
      <w:tr>
        <w:trPr>
          <w:trHeight w:val="215"/>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Furniture &amp; fixtures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Computer equipment</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9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Construction in progress - Buildings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30,267</w:t>
            </w:r>
          </w:p>
        </w:tc>
      </w:tr>
      <w:tr>
        <w:trPr>
          <w:trHeight w:val="216"/>
        </w:trPr>
        <w:tc>
          <w:tcPr>
            <w:tcW w:w="7980" w:type="dxa"/>
            <w:vAlign w:val="bottom"/>
            <w:gridSpan w:val="2"/>
            <w:shd w:val="clear" w:color="auto" w:fill="BFE4FF"/>
          </w:tcPr>
          <w:p>
            <w:pPr>
              <w:ind w:left="20"/>
              <w:spacing w:after="0" w:line="216" w:lineRule="exact"/>
              <w:rPr>
                <w:sz w:val="20"/>
                <w:szCs w:val="20"/>
                <w:color w:val="auto"/>
              </w:rPr>
            </w:pPr>
            <w:r>
              <w:rPr>
                <w:rFonts w:ascii="Arial" w:cs="Arial" w:eastAsia="Arial" w:hAnsi="Arial"/>
                <w:sz w:val="16"/>
                <w:szCs w:val="16"/>
                <w:color w:val="auto"/>
              </w:rPr>
              <w:t xml:space="preserve">Construction in progress - Magnet plant equipment and 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29,244</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29,083</w:t>
            </w:r>
          </w:p>
        </w:tc>
      </w:tr>
      <w:tr>
        <w:trPr>
          <w:trHeight w:val="209"/>
        </w:trPr>
        <w:tc>
          <w:tcPr>
            <w:tcW w:w="7980" w:type="dxa"/>
            <w:vAlign w:val="bottom"/>
            <w:gridSpan w:val="2"/>
          </w:tcPr>
          <w:p>
            <w:pPr>
              <w:ind w:left="140"/>
              <w:spacing w:after="0"/>
              <w:rPr>
                <w:sz w:val="20"/>
                <w:szCs w:val="20"/>
                <w:color w:val="auto"/>
              </w:rPr>
            </w:pPr>
            <w:r>
              <w:rPr>
                <w:rFonts w:ascii="Arial" w:cs="Arial" w:eastAsia="Arial" w:hAnsi="Arial"/>
                <w:sz w:val="16"/>
                <w:szCs w:val="16"/>
                <w:color w:val="auto"/>
              </w:rPr>
              <w:t>Property, plant and equipment, gross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87,046</w:t>
            </w:r>
          </w:p>
        </w:tc>
      </w:tr>
      <w:tr>
        <w:trPr>
          <w:trHeight w:val="217"/>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(1,640)</w:t>
            </w:r>
          </w:p>
        </w:tc>
      </w:tr>
      <w:tr>
        <w:trPr>
          <w:trHeight w:val="209"/>
        </w:trPr>
        <w:tc>
          <w:tcPr>
            <w:tcW w:w="7980" w:type="dxa"/>
            <w:vAlign w:val="bottom"/>
            <w:gridSpan w:val="2"/>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85,406</w:t>
            </w:r>
          </w:p>
        </w:tc>
      </w:tr>
      <w:tr>
        <w:trPr>
          <w:trHeight w:val="143"/>
        </w:trPr>
        <w:tc>
          <w:tcPr>
            <w:tcW w:w="9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Finance lease right-of-use assets</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1,233</w:t>
            </w:r>
          </w:p>
        </w:tc>
      </w:tr>
      <w:tr>
        <w:trPr>
          <w:trHeight w:val="215"/>
        </w:trPr>
        <w:tc>
          <w:tcPr>
            <w:tcW w:w="7980" w:type="dxa"/>
            <w:vAlign w:val="bottom"/>
            <w:tcBorders>
              <w:bottom w:val="single" w:sz="8" w:color="BFE4FF"/>
            </w:tcBorders>
            <w:gridSpan w:val="2"/>
          </w:tcPr>
          <w:p>
            <w:pPr>
              <w:ind w:left="20"/>
              <w:spacing w:after="0"/>
              <w:rPr>
                <w:sz w:val="20"/>
                <w:szCs w:val="20"/>
                <w:color w:val="auto"/>
              </w:rPr>
            </w:pPr>
            <w:r>
              <w:rPr>
                <w:rFonts w:ascii="Arial" w:cs="Arial" w:eastAsia="Arial" w:hAnsi="Arial"/>
                <w:sz w:val="16"/>
                <w:szCs w:val="16"/>
                <w:color w:val="auto"/>
              </w:rPr>
              <w:t>Less: Accumulated amortization</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10"/>
        </w:trPr>
        <w:tc>
          <w:tcPr>
            <w:tcW w:w="798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Finance lease-right-of-use assets, net</w:t>
            </w:r>
          </w:p>
        </w:tc>
        <w:tc>
          <w:tcPr>
            <w:tcW w:w="2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1,043</w:t>
            </w:r>
          </w:p>
        </w:tc>
      </w:tr>
      <w:tr>
        <w:trPr>
          <w:trHeight w:val="237"/>
        </w:trPr>
        <w:tc>
          <w:tcPr>
            <w:tcW w:w="9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798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118,967</w:t>
            </w:r>
          </w:p>
        </w:tc>
        <w:tc>
          <w:tcPr>
            <w:tcW w:w="100" w:type="dxa"/>
            <w:vAlign w:val="bottom"/>
            <w:tcBorders>
              <w:bottom w:val="single" w:sz="8" w:color="BFE4FF"/>
            </w:tcBorders>
            <w:shd w:val="clear" w:color="auto" w:fill="BFE4FF"/>
          </w:tcPr>
          <w:p>
            <w:pPr>
              <w:spacing w:after="0"/>
              <w:rPr>
                <w:sz w:val="19"/>
                <w:szCs w:val="19"/>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86,449</w:t>
            </w:r>
          </w:p>
        </w:tc>
      </w:tr>
      <w:tr>
        <w:trPr>
          <w:trHeight w:val="95"/>
        </w:trPr>
        <w:tc>
          <w:tcPr>
            <w:tcW w:w="96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121" w:lineRule="exact"/>
        <w:rPr>
          <w:sz w:val="20"/>
          <w:szCs w:val="20"/>
          <w:color w:val="auto"/>
        </w:rPr>
      </w:pPr>
    </w:p>
    <w:p>
      <w:pPr>
        <w:ind w:left="340" w:hanging="332"/>
        <w:spacing w:after="0" w:line="227" w:lineRule="auto"/>
        <w:tabs>
          <w:tab w:leader="none" w:pos="3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Construction in progress assets are placed in service and depreciated upon completion of construction, installation, certification, and when ready for their intended use.</w:t>
      </w:r>
    </w:p>
    <w:p>
      <w:pPr>
        <w:spacing w:after="0" w:line="187"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Depreciation and amortization of property, plant and equipment is calculated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related assets. The following table presents depreciation expense related to the Company’s property, plant and equipment and amortization expense related to the Company’s finance lease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r>
      <w:tr>
        <w:trPr>
          <w:trHeight w:val="164"/>
        </w:trPr>
        <w:tc>
          <w:tcPr>
            <w:tcW w:w="7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gridSpan w:val="3"/>
          </w:tcPr>
          <w:p>
            <w:pPr>
              <w:jc w:val="right"/>
              <w:ind w:right="742"/>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Pr>
          <w:p>
            <w:pPr>
              <w:spacing w:after="0"/>
              <w:rPr>
                <w:sz w:val="14"/>
                <w:szCs w:val="14"/>
                <w:color w:val="auto"/>
              </w:rPr>
            </w:pP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Depreciation expense</w:t>
            </w:r>
          </w:p>
        </w:tc>
        <w:tc>
          <w:tcPr>
            <w:tcW w:w="1100" w:type="dxa"/>
            <w:vAlign w:val="bottom"/>
            <w:shd w:val="clear" w:color="auto" w:fill="BFE4FF"/>
          </w:tcPr>
          <w:p>
            <w:pPr>
              <w:jc w:val="right"/>
              <w:ind w:right="904"/>
              <w:spacing w:after="0"/>
              <w:rPr>
                <w:sz w:val="20"/>
                <w:szCs w:val="20"/>
                <w:color w:val="auto"/>
              </w:rPr>
            </w:pPr>
            <w:r>
              <w:rPr>
                <w:rFonts w:ascii="Arial" w:cs="Arial" w:eastAsia="Arial" w:hAnsi="Arial"/>
                <w:sz w:val="16"/>
                <w:szCs w:val="16"/>
                <w:color w:val="auto"/>
              </w:rPr>
              <w:t>$</w:t>
            </w:r>
          </w:p>
        </w:tc>
        <w:tc>
          <w:tcPr>
            <w:tcW w:w="4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BFE4FF"/>
          </w:tcPr>
          <w:p>
            <w:pPr>
              <w:spacing w:after="0"/>
              <w:rPr>
                <w:sz w:val="19"/>
                <w:szCs w:val="19"/>
                <w:color w:val="auto"/>
              </w:rPr>
            </w:pPr>
          </w:p>
        </w:tc>
        <w:tc>
          <w:tcPr>
            <w:tcW w:w="1180" w:type="dxa"/>
            <w:vAlign w:val="bottom"/>
            <w:shd w:val="clear" w:color="auto" w:fill="BFE4FF"/>
          </w:tcPr>
          <w:p>
            <w:pPr>
              <w:jc w:val="right"/>
              <w:ind w:right="10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Amortization expense</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BFE4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9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Total depreciation and amortization</w:t>
            </w:r>
          </w:p>
        </w:tc>
        <w:tc>
          <w:tcPr>
            <w:tcW w:w="1100" w:type="dxa"/>
            <w:vAlign w:val="bottom"/>
            <w:tcBorders>
              <w:bottom w:val="single" w:sz="8" w:color="auto"/>
            </w:tcBorders>
            <w:shd w:val="clear" w:color="auto" w:fill="BFE4FF"/>
          </w:tcPr>
          <w:p>
            <w:pPr>
              <w:jc w:val="right"/>
              <w:ind w:right="90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BFE4FF"/>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ind w:right="100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488315</wp:posOffset>
            </wp:positionV>
            <wp:extent cx="70465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goodwill as of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r>
      <w:tr>
        <w:trPr>
          <w:trHeight w:val="163"/>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3"/>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Balance, beginning of period</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134,848</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3"/>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Goodwill recognized in connection with the acquisition of Less Common Metals Ltd.</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134,848</w:t>
            </w:r>
          </w:p>
        </w:tc>
      </w:tr>
      <w:tr>
        <w:trPr>
          <w:trHeight w:val="217"/>
        </w:trPr>
        <w:tc>
          <w:tcPr>
            <w:tcW w:w="79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Balance, end of period</w:t>
            </w:r>
          </w:p>
        </w:tc>
        <w:tc>
          <w:tcPr>
            <w:tcW w:w="28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134,848</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220" w:type="dxa"/>
            <w:vAlign w:val="bottom"/>
            <w:tcBorders>
              <w:top w:val="single" w:sz="8" w:color="auto"/>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BFE4FF"/>
          </w:tcPr>
          <w:p>
            <w:pPr>
              <w:jc w:val="right"/>
              <w:ind w:right="3"/>
              <w:spacing w:after="0"/>
              <w:rPr>
                <w:sz w:val="20"/>
                <w:szCs w:val="20"/>
                <w:color w:val="auto"/>
              </w:rPr>
            </w:pPr>
            <w:r>
              <w:rPr>
                <w:rFonts w:ascii="Arial" w:cs="Arial" w:eastAsia="Arial" w:hAnsi="Arial"/>
                <w:sz w:val="16"/>
                <w:szCs w:val="16"/>
                <w:color w:val="auto"/>
              </w:rPr>
              <w:t>134,848</w:t>
            </w:r>
          </w:p>
        </w:tc>
      </w:tr>
    </w:tbl>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not amortized and is tested for impairment annually and when events or changes in circumstances indicate that it is more likely than not that an impairment may exist. The Company’s annual goodwill impairment test is performed as of October 1. The Company may first perform a qualitative assessment to determine whether it is more likely than not that the fair value of a reporting unit is less than its carrying value. If the qualitative assessment indicates potential impairment, or if the Company elects not to perform a qualitative assessment, a quantitative impairment test is performed. In the quantitative test, the carrying value of the reporting unit is compared to its estimated fair value. If the carrying value exceeds fair value, an impairment charge is recognized for the excess, limited to the carrying amount of 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other intangible assets, by major class,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56"/>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4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auto"/>
              </w:rPr>
              <w:t>Net Carrying</w:t>
            </w:r>
          </w:p>
        </w:tc>
      </w:tr>
      <w:tr>
        <w:trPr>
          <w:trHeight w:val="189"/>
        </w:trPr>
        <w:tc>
          <w:tcPr>
            <w:tcW w:w="2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r>
      <w:tr>
        <w:trPr>
          <w:trHeight w:val="163"/>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78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2"/>
        </w:trPr>
        <w:tc>
          <w:tcPr>
            <w:tcW w:w="2880" w:type="dxa"/>
            <w:vAlign w:val="bottom"/>
            <w:shd w:val="clear" w:color="auto" w:fill="BFE4FF"/>
          </w:tcPr>
          <w:p>
            <w:pPr>
              <w:ind w:left="20"/>
              <w:spacing w:after="0"/>
              <w:rPr>
                <w:sz w:val="20"/>
                <w:szCs w:val="20"/>
                <w:color w:val="auto"/>
              </w:rPr>
            </w:pPr>
            <w:r>
              <w:rPr>
                <w:rFonts w:ascii="Arial" w:cs="Arial" w:eastAsia="Arial" w:hAnsi="Arial"/>
                <w:sz w:val="16"/>
                <w:szCs w:val="16"/>
                <w:color w:val="auto"/>
              </w:rPr>
              <w:t>Trade name</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7,245</w:t>
            </w:r>
          </w:p>
        </w:tc>
        <w:tc>
          <w:tcPr>
            <w:tcW w:w="8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BFE4FF"/>
          </w:tcPr>
          <w:p>
            <w:pPr>
              <w:jc w:val="right"/>
              <w:ind w:right="4"/>
              <w:spacing w:after="0"/>
              <w:rPr>
                <w:sz w:val="20"/>
                <w:szCs w:val="20"/>
                <w:color w:val="auto"/>
              </w:rPr>
            </w:pPr>
            <w:r>
              <w:rPr>
                <w:rFonts w:ascii="Arial" w:cs="Arial" w:eastAsia="Arial" w:hAnsi="Arial"/>
                <w:sz w:val="16"/>
                <w:szCs w:val="16"/>
                <w:color w:val="auto"/>
              </w:rPr>
              <w:t>7,064</w:t>
            </w:r>
          </w:p>
        </w:tc>
        <w:tc>
          <w:tcPr>
            <w:tcW w:w="8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7,245</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7,185</w:t>
            </w: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11,634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11,856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11,782</w:t>
            </w:r>
          </w:p>
        </w:tc>
      </w:tr>
      <w:tr>
        <w:trPr>
          <w:trHeight w:val="217"/>
        </w:trPr>
        <w:tc>
          <w:tcPr>
            <w:tcW w:w="2880" w:type="dxa"/>
            <w:vAlign w:val="bottom"/>
            <w:shd w:val="clear" w:color="auto" w:fill="BFE4FF"/>
          </w:tcPr>
          <w:p>
            <w:pPr>
              <w:ind w:left="20"/>
              <w:spacing w:after="0"/>
              <w:rPr>
                <w:sz w:val="20"/>
                <w:szCs w:val="20"/>
                <w:color w:val="auto"/>
              </w:rPr>
            </w:pPr>
            <w:r>
              <w:rPr>
                <w:rFonts w:ascii="Arial" w:cs="Arial" w:eastAsia="Arial" w:hAnsi="Arial"/>
                <w:sz w:val="16"/>
                <w:szCs w:val="16"/>
                <w:color w:val="auto"/>
              </w:rPr>
              <w:t>Supplier relationships</w:t>
            </w:r>
          </w:p>
        </w:tc>
        <w:tc>
          <w:tcPr>
            <w:tcW w:w="120" w:type="dxa"/>
            <w:vAlign w:val="bottom"/>
            <w:shd w:val="clear" w:color="auto" w:fill="BFE4FF"/>
          </w:tcPr>
          <w:p>
            <w:pPr>
              <w:spacing w:after="0"/>
              <w:rPr>
                <w:sz w:val="18"/>
                <w:szCs w:val="18"/>
                <w:color w:val="auto"/>
              </w:rPr>
            </w:pPr>
          </w:p>
        </w:tc>
        <w:tc>
          <w:tcPr>
            <w:tcW w:w="12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33,986</w:t>
            </w:r>
          </w:p>
        </w:tc>
        <w:tc>
          <w:tcPr>
            <w:tcW w:w="8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(1,275)</w:t>
            </w:r>
          </w:p>
        </w:tc>
        <w:tc>
          <w:tcPr>
            <w:tcW w:w="8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140" w:type="dxa"/>
            <w:vAlign w:val="bottom"/>
            <w:shd w:val="clear" w:color="auto" w:fill="BFE4FF"/>
          </w:tcPr>
          <w:p>
            <w:pPr>
              <w:jc w:val="right"/>
              <w:ind w:right="4"/>
              <w:spacing w:after="0"/>
              <w:rPr>
                <w:sz w:val="20"/>
                <w:szCs w:val="20"/>
                <w:color w:val="auto"/>
              </w:rPr>
            </w:pPr>
            <w:r>
              <w:rPr>
                <w:rFonts w:ascii="Arial" w:cs="Arial" w:eastAsia="Arial" w:hAnsi="Arial"/>
                <w:sz w:val="16"/>
                <w:szCs w:val="16"/>
                <w:color w:val="auto"/>
              </w:rPr>
              <w:t>32,711</w:t>
            </w:r>
          </w:p>
        </w:tc>
        <w:tc>
          <w:tcPr>
            <w:tcW w:w="8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33,986</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1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33,561</w:t>
            </w:r>
          </w:p>
        </w:tc>
      </w:tr>
      <w:tr>
        <w:trPr>
          <w:trHeight w:val="215"/>
        </w:trPr>
        <w:tc>
          <w:tcPr>
            <w:tcW w:w="28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Know-how</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16,203</w:t>
            </w:r>
          </w:p>
        </w:tc>
        <w:tc>
          <w:tcPr>
            <w:tcW w:w="8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8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15,846</w:t>
            </w:r>
          </w:p>
        </w:tc>
        <w:tc>
          <w:tcPr>
            <w:tcW w:w="8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16,203</w:t>
            </w: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16,084</w:t>
            </w:r>
          </w:p>
        </w:tc>
      </w:tr>
      <w:tr>
        <w:trPr>
          <w:trHeight w:val="217"/>
        </w:trPr>
        <w:tc>
          <w:tcPr>
            <w:tcW w:w="28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Total other intangible assets</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69,290</w:t>
            </w:r>
          </w:p>
        </w:tc>
        <w:tc>
          <w:tcPr>
            <w:tcW w:w="8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(2,035)</w:t>
            </w:r>
          </w:p>
        </w:tc>
        <w:tc>
          <w:tcPr>
            <w:tcW w:w="80" w:type="dxa"/>
            <w:vAlign w:val="bottom"/>
            <w:tcBorders>
              <w:bottom w:val="single" w:sz="8" w:color="BFE4FF"/>
            </w:tcBorders>
            <w:shd w:val="clear" w:color="auto" w:fill="BFE4FF"/>
          </w:tcPr>
          <w:p>
            <w:pPr>
              <w:spacing w:after="0"/>
              <w:rPr>
                <w:sz w:val="18"/>
                <w:szCs w:val="18"/>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BFE4FF"/>
          </w:tcPr>
          <w:p>
            <w:pPr>
              <w:jc w:val="right"/>
              <w:ind w:right="4"/>
              <w:spacing w:after="0"/>
              <w:rPr>
                <w:sz w:val="20"/>
                <w:szCs w:val="20"/>
                <w:color w:val="auto"/>
              </w:rPr>
            </w:pPr>
            <w:r>
              <w:rPr>
                <w:rFonts w:ascii="Arial" w:cs="Arial" w:eastAsia="Arial" w:hAnsi="Arial"/>
                <w:sz w:val="16"/>
                <w:szCs w:val="16"/>
                <w:color w:val="auto"/>
              </w:rPr>
              <w:t>67,255</w:t>
            </w:r>
          </w:p>
        </w:tc>
        <w:tc>
          <w:tcPr>
            <w:tcW w:w="8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69,290</w:t>
            </w:r>
          </w:p>
        </w:tc>
        <w:tc>
          <w:tcPr>
            <w:tcW w:w="100" w:type="dxa"/>
            <w:vAlign w:val="bottom"/>
            <w:tcBorders>
              <w:bottom w:val="single" w:sz="8" w:color="BFE4FF"/>
            </w:tcBorders>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BFE4FF"/>
            </w:tcBorders>
            <w:shd w:val="clear" w:color="auto" w:fill="BFE4FF"/>
          </w:tcPr>
          <w:p>
            <w:pPr>
              <w:spacing w:after="0"/>
              <w:rPr>
                <w:sz w:val="18"/>
                <w:szCs w:val="18"/>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68,612</w:t>
            </w: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amortization expense related to the Company’s other intangible assets for the periods indicated. There was no intangible amortization for the three months ended March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9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March 31, 2026</w:t>
            </w:r>
          </w:p>
        </w:tc>
      </w:tr>
      <w:tr>
        <w:trPr>
          <w:trHeight w:val="163"/>
        </w:trPr>
        <w:tc>
          <w:tcPr>
            <w:tcW w:w="9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23"/>
              <w:spacing w:after="0"/>
              <w:rPr>
                <w:sz w:val="20"/>
                <w:szCs w:val="20"/>
                <w:color w:val="auto"/>
              </w:rPr>
            </w:pPr>
            <w:r>
              <w:rPr>
                <w:rFonts w:ascii="Arial" w:cs="Arial" w:eastAsia="Arial" w:hAnsi="Arial"/>
                <w:sz w:val="13"/>
                <w:szCs w:val="13"/>
                <w:i w:val="1"/>
                <w:iCs w:val="1"/>
                <w:color w:val="auto"/>
                <w:w w:val="98"/>
              </w:rPr>
              <w:t>(In thousands)</w:t>
            </w:r>
          </w:p>
        </w:tc>
      </w:tr>
      <w:tr>
        <w:trPr>
          <w:trHeight w:val="222"/>
        </w:trPr>
        <w:tc>
          <w:tcPr>
            <w:tcW w:w="9660" w:type="dxa"/>
            <w:vAlign w:val="bottom"/>
            <w:shd w:val="clear" w:color="auto" w:fill="BFE4FF"/>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shd w:val="clear" w:color="auto" w:fill="BFE4FF"/>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FE4FF"/>
          </w:tcPr>
          <w:p>
            <w:pPr>
              <w:jc w:val="right"/>
              <w:ind w:right="3"/>
              <w:spacing w:after="0"/>
              <w:rPr>
                <w:sz w:val="20"/>
                <w:szCs w:val="20"/>
                <w:color w:val="auto"/>
              </w:rPr>
            </w:pPr>
            <w:r>
              <w:rPr>
                <w:rFonts w:ascii="Arial" w:cs="Arial" w:eastAsia="Arial" w:hAnsi="Arial"/>
                <w:sz w:val="16"/>
                <w:szCs w:val="16"/>
                <w:color w:val="auto"/>
              </w:rPr>
              <w:t>121</w:t>
            </w:r>
          </w:p>
        </w:tc>
      </w:tr>
      <w:tr>
        <w:trPr>
          <w:trHeight w:val="215"/>
        </w:trPr>
        <w:tc>
          <w:tcPr>
            <w:tcW w:w="96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148</w:t>
            </w:r>
          </w:p>
        </w:tc>
      </w:tr>
      <w:tr>
        <w:trPr>
          <w:trHeight w:val="217"/>
        </w:trPr>
        <w:tc>
          <w:tcPr>
            <w:tcW w:w="9660" w:type="dxa"/>
            <w:vAlign w:val="bottom"/>
            <w:shd w:val="clear" w:color="auto" w:fill="BFE4FF"/>
          </w:tcPr>
          <w:p>
            <w:pPr>
              <w:ind w:left="20"/>
              <w:spacing w:after="0"/>
              <w:rPr>
                <w:sz w:val="20"/>
                <w:szCs w:val="20"/>
                <w:color w:val="auto"/>
              </w:rPr>
            </w:pPr>
            <w:r>
              <w:rPr>
                <w:rFonts w:ascii="Arial" w:cs="Arial" w:eastAsia="Arial" w:hAnsi="Arial"/>
                <w:sz w:val="16"/>
                <w:szCs w:val="16"/>
                <w:color w:val="auto"/>
              </w:rPr>
              <w:t>Supplier relationships</w:t>
            </w:r>
          </w:p>
        </w:tc>
        <w:tc>
          <w:tcPr>
            <w:tcW w:w="200" w:type="dxa"/>
            <w:vAlign w:val="bottom"/>
            <w:shd w:val="clear" w:color="auto" w:fill="BFE4FF"/>
          </w:tcPr>
          <w:p>
            <w:pPr>
              <w:spacing w:after="0"/>
              <w:rPr>
                <w:sz w:val="18"/>
                <w:szCs w:val="18"/>
                <w:color w:val="auto"/>
              </w:rPr>
            </w:pPr>
          </w:p>
        </w:tc>
        <w:tc>
          <w:tcPr>
            <w:tcW w:w="1380" w:type="dxa"/>
            <w:vAlign w:val="bottom"/>
            <w:shd w:val="clear" w:color="auto" w:fill="BFE4FF"/>
          </w:tcPr>
          <w:p>
            <w:pPr>
              <w:jc w:val="right"/>
              <w:ind w:right="3"/>
              <w:spacing w:after="0"/>
              <w:rPr>
                <w:sz w:val="20"/>
                <w:szCs w:val="20"/>
                <w:color w:val="auto"/>
              </w:rPr>
            </w:pPr>
            <w:r>
              <w:rPr>
                <w:rFonts w:ascii="Arial" w:cs="Arial" w:eastAsia="Arial" w:hAnsi="Arial"/>
                <w:sz w:val="16"/>
                <w:szCs w:val="16"/>
                <w:color w:val="auto"/>
              </w:rPr>
              <w:t>850</w:t>
            </w:r>
          </w:p>
        </w:tc>
      </w:tr>
      <w:tr>
        <w:trPr>
          <w:trHeight w:val="215"/>
        </w:trPr>
        <w:tc>
          <w:tcPr>
            <w:tcW w:w="96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Know-how</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238</w:t>
            </w:r>
          </w:p>
        </w:tc>
      </w:tr>
      <w:tr>
        <w:trPr>
          <w:trHeight w:val="217"/>
        </w:trPr>
        <w:tc>
          <w:tcPr>
            <w:tcW w:w="966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Total amortization of other intangible assets</w:t>
            </w:r>
          </w:p>
        </w:tc>
        <w:tc>
          <w:tcPr>
            <w:tcW w:w="200" w:type="dxa"/>
            <w:vAlign w:val="bottom"/>
            <w:tcBorders>
              <w:bottom w:val="single" w:sz="8" w:color="auto"/>
            </w:tcBorders>
            <w:shd w:val="clear" w:color="auto" w:fill="BFE4FF"/>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BFE4FF"/>
          </w:tcPr>
          <w:p>
            <w:pPr>
              <w:jc w:val="right"/>
              <w:ind w:right="3"/>
              <w:spacing w:after="0"/>
              <w:rPr>
                <w:sz w:val="20"/>
                <w:szCs w:val="20"/>
                <w:color w:val="auto"/>
              </w:rPr>
            </w:pPr>
            <w:r>
              <w:rPr>
                <w:rFonts w:ascii="Arial" w:cs="Arial" w:eastAsia="Arial" w:hAnsi="Arial"/>
                <w:sz w:val="16"/>
                <w:szCs w:val="16"/>
                <w:color w:val="auto"/>
              </w:rPr>
              <w:t>1,357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488950</wp:posOffset>
            </wp:positionV>
            <wp:extent cx="7046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1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following table presents estimated future amortization expense of 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as of March 31, 2026.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Finite-lived Intangible</w:t>
            </w:r>
          </w:p>
        </w:tc>
        <w:tc>
          <w:tcPr>
            <w:tcW w:w="0" w:type="dxa"/>
            <w:vAlign w:val="bottom"/>
          </w:tcPr>
          <w:p>
            <w:pPr>
              <w:spacing w:after="0"/>
              <w:rPr>
                <w:sz w:val="1"/>
                <w:szCs w:val="1"/>
                <w:color w:val="auto"/>
              </w:rPr>
            </w:pPr>
          </w:p>
        </w:tc>
      </w:tr>
      <w:tr>
        <w:trPr>
          <w:trHeight w:val="185"/>
        </w:trPr>
        <w:tc>
          <w:tcPr>
            <w:tcW w:w="9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6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3"/>
        </w:trPr>
        <w:tc>
          <w:tcPr>
            <w:tcW w:w="2880" w:type="dxa"/>
            <w:vAlign w:val="bottom"/>
            <w:tcBorders>
              <w:top w:val="single" w:sz="8" w:color="auto"/>
            </w:tcBorders>
          </w:tcPr>
          <w:p>
            <w:pPr>
              <w:spacing w:after="0"/>
              <w:rPr>
                <w:sz w:val="14"/>
                <w:szCs w:val="14"/>
                <w:color w:val="auto"/>
              </w:rPr>
            </w:pPr>
          </w:p>
        </w:tc>
        <w:tc>
          <w:tcPr>
            <w:tcW w:w="6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162"/>
              <w:spacing w:after="0"/>
              <w:rPr>
                <w:sz w:val="20"/>
                <w:szCs w:val="20"/>
                <w:color w:val="auto"/>
              </w:rPr>
            </w:pPr>
            <w:r>
              <w:rPr>
                <w:rFonts w:ascii="Arial" w:cs="Arial" w:eastAsia="Arial" w:hAnsi="Arial"/>
                <w:sz w:val="13"/>
                <w:szCs w:val="13"/>
                <w:i w:val="1"/>
                <w:iCs w:val="1"/>
                <w:color w:val="auto"/>
                <w:w w:val="98"/>
              </w:rPr>
              <w:t>(In thousands)</w:t>
            </w:r>
          </w:p>
        </w:tc>
        <w:tc>
          <w:tcPr>
            <w:tcW w:w="0" w:type="dxa"/>
            <w:vAlign w:val="bottom"/>
          </w:tcPr>
          <w:p>
            <w:pPr>
              <w:spacing w:after="0"/>
              <w:rPr>
                <w:sz w:val="1"/>
                <w:szCs w:val="1"/>
                <w:color w:val="auto"/>
              </w:rPr>
            </w:pPr>
          </w:p>
        </w:tc>
      </w:tr>
      <w:tr>
        <w:trPr>
          <w:trHeight w:val="222"/>
        </w:trPr>
        <w:tc>
          <w:tcPr>
            <w:tcW w:w="96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2026 (remaining nine months)</w:t>
            </w:r>
          </w:p>
        </w:tc>
        <w:tc>
          <w:tcPr>
            <w:tcW w:w="240" w:type="dxa"/>
            <w:vAlign w:val="bottom"/>
            <w:shd w:val="clear" w:color="auto" w:fill="BFE4FF"/>
          </w:tcPr>
          <w:p>
            <w:pPr>
              <w:jc w:val="right"/>
              <w:ind w:right="6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4,071</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2027</w:t>
            </w: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17"/>
        </w:trPr>
        <w:tc>
          <w:tcPr>
            <w:tcW w:w="2880" w:type="dxa"/>
            <w:vAlign w:val="bottom"/>
            <w:shd w:val="clear" w:color="auto" w:fill="BFE4FF"/>
          </w:tcPr>
          <w:p>
            <w:pPr>
              <w:ind w:left="20"/>
              <w:spacing w:after="0"/>
              <w:rPr>
                <w:sz w:val="20"/>
                <w:szCs w:val="20"/>
                <w:color w:val="auto"/>
              </w:rPr>
            </w:pPr>
            <w:r>
              <w:rPr>
                <w:rFonts w:ascii="Arial" w:cs="Arial" w:eastAsia="Arial" w:hAnsi="Arial"/>
                <w:sz w:val="16"/>
                <w:szCs w:val="16"/>
                <w:color w:val="auto"/>
              </w:rPr>
              <w:t>2028</w:t>
            </w:r>
          </w:p>
        </w:tc>
        <w:tc>
          <w:tcPr>
            <w:tcW w:w="678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13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2029</w:t>
            </w: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17"/>
        </w:trPr>
        <w:tc>
          <w:tcPr>
            <w:tcW w:w="2880" w:type="dxa"/>
            <w:vAlign w:val="bottom"/>
            <w:shd w:val="clear" w:color="auto" w:fill="BFE4FF"/>
          </w:tcPr>
          <w:p>
            <w:pPr>
              <w:ind w:left="20"/>
              <w:spacing w:after="0"/>
              <w:rPr>
                <w:sz w:val="20"/>
                <w:szCs w:val="20"/>
                <w:color w:val="auto"/>
              </w:rPr>
            </w:pPr>
            <w:r>
              <w:rPr>
                <w:rFonts w:ascii="Arial" w:cs="Arial" w:eastAsia="Arial" w:hAnsi="Arial"/>
                <w:sz w:val="16"/>
                <w:szCs w:val="16"/>
                <w:color w:val="auto"/>
              </w:rPr>
              <w:t>2030</w:t>
            </w:r>
          </w:p>
        </w:tc>
        <w:tc>
          <w:tcPr>
            <w:tcW w:w="678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13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15"/>
        </w:trPr>
        <w:tc>
          <w:tcPr>
            <w:tcW w:w="9660" w:type="dxa"/>
            <w:vAlign w:val="bottom"/>
            <w:tcBorders>
              <w:bottom w:val="single" w:sz="8" w:color="BFE4FF"/>
            </w:tcBorders>
            <w:gridSpan w:val="2"/>
          </w:tcPr>
          <w:p>
            <w:pPr>
              <w:ind w:left="20"/>
              <w:spacing w:after="0"/>
              <w:rPr>
                <w:sz w:val="20"/>
                <w:szCs w:val="20"/>
                <w:color w:val="auto"/>
              </w:rPr>
            </w:pPr>
            <w:r>
              <w:rPr>
                <w:rFonts w:ascii="Arial" w:cs="Arial" w:eastAsia="Arial" w:hAnsi="Arial"/>
                <w:sz w:val="16"/>
                <w:szCs w:val="16"/>
                <w:color w:val="auto"/>
              </w:rPr>
              <w:t>2031 and thereafter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41,472</w:t>
            </w:r>
          </w:p>
        </w:tc>
        <w:tc>
          <w:tcPr>
            <w:tcW w:w="0" w:type="dxa"/>
            <w:vAlign w:val="bottom"/>
          </w:tcPr>
          <w:p>
            <w:pPr>
              <w:spacing w:after="0"/>
              <w:rPr>
                <w:sz w:val="1"/>
                <w:szCs w:val="1"/>
                <w:color w:val="auto"/>
              </w:rPr>
            </w:pPr>
          </w:p>
        </w:tc>
      </w:tr>
      <w:tr>
        <w:trPr>
          <w:trHeight w:val="217"/>
        </w:trPr>
        <w:tc>
          <w:tcPr>
            <w:tcW w:w="966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Total estimated amortization</w:t>
            </w:r>
          </w:p>
        </w:tc>
        <w:tc>
          <w:tcPr>
            <w:tcW w:w="240" w:type="dxa"/>
            <w:vAlign w:val="bottom"/>
            <w:tcBorders>
              <w:bottom w:val="single" w:sz="8" w:color="auto"/>
            </w:tcBorders>
            <w:shd w:val="clear" w:color="auto" w:fill="BFE4FF"/>
          </w:tcPr>
          <w:p>
            <w:pPr>
              <w:jc w:val="right"/>
              <w:ind w:right="6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67,255</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accrued liabilities as of the dates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96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163"/>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1"/>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Payroll and related employee taxes</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2,659</w:t>
            </w:r>
          </w:p>
        </w:tc>
      </w:tr>
      <w:tr>
        <w:trPr>
          <w:trHeight w:val="215"/>
        </w:trPr>
        <w:tc>
          <w:tcPr>
            <w:tcW w:w="7980" w:type="dxa"/>
            <w:vAlign w:val="bottom"/>
            <w:gridSpan w:val="2"/>
          </w:tcPr>
          <w:p>
            <w:pPr>
              <w:ind w:left="20"/>
              <w:spacing w:after="0"/>
              <w:rPr>
                <w:sz w:val="20"/>
                <w:szCs w:val="20"/>
                <w:color w:val="auto"/>
              </w:rPr>
            </w:pPr>
            <w:r>
              <w:rPr>
                <w:rFonts w:ascii="Arial" w:cs="Arial" w:eastAsia="Arial" w:hAnsi="Arial"/>
                <w:sz w:val="16"/>
                <w:szCs w:val="16"/>
                <w:color w:val="auto"/>
              </w:rPr>
              <w:t>Construction in progress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6,302</w:t>
            </w:r>
          </w:p>
        </w:tc>
      </w:tr>
      <w:tr>
        <w:trPr>
          <w:trHeight w:val="217"/>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Legal</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6,581</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1,668</w:t>
            </w:r>
          </w:p>
        </w:tc>
      </w:tr>
      <w:tr>
        <w:trPr>
          <w:trHeight w:val="216"/>
        </w:trPr>
        <w:tc>
          <w:tcPr>
            <w:tcW w:w="79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Asset retirement obligation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700</w:t>
            </w:r>
          </w:p>
        </w:tc>
      </w:tr>
      <w:tr>
        <w:trPr>
          <w:trHeight w:val="216"/>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4,030</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2,744</w:t>
            </w:r>
          </w:p>
        </w:tc>
      </w:tr>
      <w:tr>
        <w:trPr>
          <w:trHeight w:val="216"/>
        </w:trPr>
        <w:tc>
          <w:tcPr>
            <w:tcW w:w="7980" w:type="dxa"/>
            <w:vAlign w:val="bottom"/>
            <w:gridSpan w:val="2"/>
          </w:tcPr>
          <w:p>
            <w:pPr>
              <w:ind w:left="140"/>
              <w:spacing w:after="0"/>
              <w:rPr>
                <w:sz w:val="20"/>
                <w:szCs w:val="20"/>
                <w:color w:val="auto"/>
              </w:rPr>
            </w:pPr>
            <w:r>
              <w:rPr>
                <w:rFonts w:ascii="Arial" w:cs="Arial" w:eastAsia="Arial" w:hAnsi="Arial"/>
                <w:sz w:val="16"/>
                <w:szCs w:val="16"/>
                <w:color w:val="auto"/>
              </w:rPr>
              <w:t>Total accrued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14,073</w:t>
            </w:r>
          </w:p>
        </w:tc>
      </w:tr>
      <w:tr>
        <w:trPr>
          <w:trHeight w:val="95"/>
        </w:trPr>
        <w:tc>
          <w:tcPr>
            <w:tcW w:w="96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121" w:lineRule="exact"/>
        <w:rPr>
          <w:sz w:val="20"/>
          <w:szCs w:val="20"/>
          <w:color w:val="auto"/>
        </w:rPr>
      </w:pPr>
    </w:p>
    <w:p>
      <w:pPr>
        <w:jc w:val="both"/>
        <w:ind w:left="340" w:hanging="332"/>
        <w:spacing w:after="0" w:line="238" w:lineRule="auto"/>
        <w:tabs>
          <w:tab w:leader="none" w:pos="3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Company recorded certain Asset Retirement Obligations (“ARO”), in connection with the Company’s obligation to return its Cheshire, United Kingdom building to its “original condition,” as defined in the lease agreement. The building lease will expire in November 2026 and the estimated cost is expected to be paid at lease expiration.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ARO activity for the periods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Pr>
          <w:p>
            <w:pPr>
              <w:spacing w:after="0"/>
              <w:rPr>
                <w:sz w:val="16"/>
                <w:szCs w:val="16"/>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r>
      <w:tr>
        <w:trPr>
          <w:trHeight w:val="163"/>
        </w:trPr>
        <w:tc>
          <w:tcPr>
            <w:tcW w:w="7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gridSpan w:val="4"/>
          </w:tcPr>
          <w:p>
            <w:pPr>
              <w:jc w:val="right"/>
              <w:ind w:right="1142"/>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Balance, beginning of period</w:t>
            </w:r>
          </w:p>
        </w:tc>
        <w:tc>
          <w:tcPr>
            <w:tcW w:w="1180" w:type="dxa"/>
            <w:vAlign w:val="bottom"/>
            <w:shd w:val="clear" w:color="auto" w:fill="BFE4FF"/>
          </w:tcPr>
          <w:p>
            <w:pPr>
              <w:jc w:val="right"/>
              <w:ind w:right="984"/>
              <w:spacing w:after="0"/>
              <w:rPr>
                <w:sz w:val="20"/>
                <w:szCs w:val="20"/>
                <w:color w:val="auto"/>
              </w:rPr>
            </w:pPr>
            <w:r>
              <w:rPr>
                <w:rFonts w:ascii="Arial" w:cs="Arial" w:eastAsia="Arial" w:hAnsi="Arial"/>
                <w:sz w:val="16"/>
                <w:szCs w:val="16"/>
                <w:color w:val="auto"/>
              </w:rPr>
              <w:t>$</w:t>
            </w:r>
          </w:p>
        </w:tc>
        <w:tc>
          <w:tcPr>
            <w:tcW w:w="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Obligations arising from acquisition</w:t>
            </w:r>
          </w:p>
        </w:tc>
        <w:tc>
          <w:tcPr>
            <w:tcW w:w="1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605</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Accretion</w:t>
            </w:r>
          </w:p>
        </w:tc>
        <w:tc>
          <w:tcPr>
            <w:tcW w:w="1180" w:type="dxa"/>
            <w:vAlign w:val="bottom"/>
            <w:shd w:val="clear" w:color="auto" w:fill="BFE4FF"/>
          </w:tcPr>
          <w:p>
            <w:pPr>
              <w:spacing w:after="0"/>
              <w:rPr>
                <w:sz w:val="18"/>
                <w:szCs w:val="18"/>
                <w:color w:val="auto"/>
              </w:rPr>
            </w:pPr>
          </w:p>
        </w:tc>
        <w:tc>
          <w:tcPr>
            <w:tcW w:w="50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82</w:t>
            </w:r>
          </w:p>
        </w:tc>
      </w:tr>
      <w:tr>
        <w:trPr>
          <w:trHeight w:val="215"/>
        </w:trPr>
        <w:tc>
          <w:tcPr>
            <w:tcW w:w="79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Foreign currency translation</w:t>
            </w: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w:t>
            </w:r>
          </w:p>
        </w:tc>
      </w:tr>
      <w:tr>
        <w:trPr>
          <w:trHeight w:val="217"/>
        </w:trPr>
        <w:tc>
          <w:tcPr>
            <w:tcW w:w="79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Balance, end of period</w:t>
            </w:r>
          </w:p>
        </w:tc>
        <w:tc>
          <w:tcPr>
            <w:tcW w:w="1180" w:type="dxa"/>
            <w:vAlign w:val="bottom"/>
            <w:tcBorders>
              <w:bottom w:val="single" w:sz="8" w:color="auto"/>
            </w:tcBorders>
            <w:shd w:val="clear" w:color="auto" w:fill="BFE4FF"/>
          </w:tcPr>
          <w:p>
            <w:pPr>
              <w:jc w:val="right"/>
              <w:ind w:right="98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488315</wp:posOffset>
            </wp:positionV>
            <wp:extent cx="70465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Company’s contract liabilities, which consist of customer deposits and deferred revenue, when cash payments are received in advance of the Company’s performance. As of March 31, 2026, the Company evaluated its remaining performance obligations under its contract liabilities. The Company’s contract liabilities primarily consist of short</w:t>
      </w:r>
      <w:r>
        <w:rPr>
          <w:rFonts w:ascii="MS PGothic" w:cs="MS PGothic" w:eastAsia="MS PGothic" w:hAnsi="MS PGothic"/>
          <w:sz w:val="18"/>
          <w:szCs w:val="18"/>
          <w:color w:val="auto"/>
        </w:rPr>
        <w:t>‑</w:t>
      </w:r>
      <w:r>
        <w:rPr>
          <w:rFonts w:ascii="Arial" w:cs="Arial" w:eastAsia="Arial" w:hAnsi="Arial"/>
          <w:sz w:val="18"/>
          <w:szCs w:val="18"/>
          <w:color w:val="auto"/>
        </w:rPr>
        <w:t xml:space="preserve"> term arrangements with original expected durations of one year or less, and related revenue is expected to be recognized over the next year. The following table presents the activity related to contract liabilities for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163"/>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4"/>
          </w:tcPr>
          <w:p>
            <w:pPr>
              <w:jc w:val="right"/>
              <w:ind w:right="1141"/>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Balance, beginning of period</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Contract liabilities related to acquisition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10,341</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Revenue recognized</w:t>
            </w:r>
          </w:p>
        </w:tc>
        <w:tc>
          <w:tcPr>
            <w:tcW w:w="280" w:type="dxa"/>
            <w:vAlign w:val="bottom"/>
            <w:shd w:val="clear" w:color="auto" w:fill="BFE4FF"/>
          </w:tcPr>
          <w:p>
            <w:pPr>
              <w:spacing w:after="0"/>
              <w:rPr>
                <w:sz w:val="18"/>
                <w:szCs w:val="18"/>
                <w:color w:val="auto"/>
              </w:rPr>
            </w:pPr>
          </w:p>
        </w:tc>
        <w:tc>
          <w:tcPr>
            <w:tcW w:w="140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Cash received, excluding amounts recognized as revenue during the period</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23</w:t>
            </w:r>
          </w:p>
        </w:tc>
      </w:tr>
      <w:tr>
        <w:trPr>
          <w:trHeight w:val="217"/>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Translation adjustments</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157</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10,500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notes payable as of the dates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80" w:type="dxa"/>
            <w:vAlign w:val="bottom"/>
          </w:tcPr>
          <w:p>
            <w:pPr>
              <w:jc w:val="center"/>
              <w:ind w:left="325"/>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980" w:type="dxa"/>
            <w:vAlign w:val="bottom"/>
          </w:tcPr>
          <w:p>
            <w:pPr>
              <w:spacing w:after="0"/>
              <w:rPr>
                <w:sz w:val="16"/>
                <w:szCs w:val="16"/>
                <w:color w:val="auto"/>
              </w:rPr>
            </w:pPr>
          </w:p>
        </w:tc>
        <w:tc>
          <w:tcPr>
            <w:tcW w:w="11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2025</w:t>
            </w:r>
          </w:p>
        </w:tc>
      </w:tr>
      <w:tr>
        <w:trPr>
          <w:trHeight w:val="163"/>
        </w:trPr>
        <w:tc>
          <w:tcPr>
            <w:tcW w:w="7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gridSpan w:val="4"/>
          </w:tcPr>
          <w:p>
            <w:pPr>
              <w:jc w:val="right"/>
              <w:ind w:right="1145"/>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Barclays Trade Loan</w:t>
            </w:r>
          </w:p>
        </w:tc>
        <w:tc>
          <w:tcPr>
            <w:tcW w:w="1180" w:type="dxa"/>
            <w:vAlign w:val="bottom"/>
            <w:shd w:val="clear" w:color="auto" w:fill="BFE4FF"/>
          </w:tcPr>
          <w:p>
            <w:pPr>
              <w:jc w:val="right"/>
              <w:ind w:right="985"/>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BFE4FF"/>
          </w:tcPr>
          <w:p>
            <w:pPr>
              <w:ind w:left="18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BFE4FF"/>
          </w:tcPr>
          <w:p>
            <w:pPr>
              <w:jc w:val="right"/>
              <w:ind w:right="5"/>
              <w:spacing w:after="0"/>
              <w:rPr>
                <w:sz w:val="20"/>
                <w:szCs w:val="20"/>
                <w:color w:val="auto"/>
              </w:rPr>
            </w:pPr>
            <w:r>
              <w:rPr>
                <w:rFonts w:ascii="Arial" w:cs="Arial" w:eastAsia="Arial" w:hAnsi="Arial"/>
                <w:sz w:val="16"/>
                <w:szCs w:val="16"/>
                <w:color w:val="auto"/>
              </w:rPr>
              <w:t>1,849</w:t>
            </w:r>
          </w:p>
        </w:tc>
      </w:tr>
      <w:tr>
        <w:trPr>
          <w:trHeight w:val="27"/>
        </w:trPr>
        <w:tc>
          <w:tcPr>
            <w:tcW w:w="7980" w:type="dxa"/>
            <w:vAlign w:val="bottom"/>
            <w:shd w:val="clear" w:color="auto" w:fill="BFE4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February 13, 2026, the Company repaid the outstanding Barclays Trade Loan balance in full, including accrued interest, to Barclays Bank PLC, and the loan was cancelled upon repayment.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related to the Company’s notes payable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r>
      <w:tr>
        <w:trPr>
          <w:trHeight w:val="164"/>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gridSpan w:val="3"/>
          </w:tcPr>
          <w:p>
            <w:pPr>
              <w:jc w:val="right"/>
              <w:ind w:right="742"/>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Pr>
          <w:p>
            <w:pPr>
              <w:spacing w:after="0"/>
              <w:rPr>
                <w:sz w:val="14"/>
                <w:szCs w:val="14"/>
                <w:color w:val="auto"/>
              </w:rPr>
            </w:pPr>
          </w:p>
        </w:tc>
      </w:tr>
      <w:tr>
        <w:trPr>
          <w:trHeight w:val="222"/>
        </w:trPr>
        <w:tc>
          <w:tcPr>
            <w:tcW w:w="7980" w:type="dxa"/>
            <w:vAlign w:val="bottom"/>
            <w:gridSpan w:val="2"/>
            <w:shd w:val="clear" w:color="auto" w:fill="BFE4FF"/>
          </w:tcPr>
          <w:p>
            <w:pPr>
              <w:ind w:left="20"/>
              <w:spacing w:after="0" w:line="222" w:lineRule="exact"/>
              <w:rPr>
                <w:sz w:val="20"/>
                <w:szCs w:val="20"/>
                <w:color w:val="auto"/>
              </w:rPr>
            </w:pPr>
            <w:r>
              <w:rPr>
                <w:rFonts w:ascii="Arial" w:cs="Arial" w:eastAsia="Arial" w:hAnsi="Arial"/>
                <w:sz w:val="16"/>
                <w:szCs w:val="16"/>
                <w:color w:val="auto"/>
              </w:rPr>
              <w:t xml:space="preserve">Hatch Note </w:t>
            </w:r>
            <w:r>
              <w:rPr>
                <w:rFonts w:ascii="Arial" w:cs="Arial" w:eastAsia="Arial" w:hAnsi="Arial"/>
                <w:sz w:val="21"/>
                <w:szCs w:val="21"/>
                <w:color w:val="auto"/>
                <w:vertAlign w:val="superscript"/>
              </w:rPr>
              <w:t>(1)</w:t>
            </w:r>
          </w:p>
        </w:tc>
        <w:tc>
          <w:tcPr>
            <w:tcW w:w="1100" w:type="dxa"/>
            <w:vAlign w:val="bottom"/>
            <w:shd w:val="clear" w:color="auto" w:fill="BFE4FF"/>
          </w:tcPr>
          <w:p>
            <w:pPr>
              <w:jc w:val="right"/>
              <w:ind w:right="904"/>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BFE4FF"/>
          </w:tcPr>
          <w:p>
            <w:pPr>
              <w:jc w:val="right"/>
              <w:ind w:right="10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7980" w:type="dxa"/>
            <w:vAlign w:val="bottom"/>
            <w:tcBorders>
              <w:bottom w:val="single" w:sz="8" w:color="BFE4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Barclays Trade Loan </w:t>
            </w:r>
            <w:r>
              <w:rPr>
                <w:rFonts w:ascii="Arial" w:cs="Arial" w:eastAsia="Arial" w:hAnsi="Arial"/>
                <w:sz w:val="21"/>
                <w:szCs w:val="21"/>
                <w:color w:val="auto"/>
                <w:vertAlign w:val="superscript"/>
              </w:rPr>
              <w:t>(2)</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BFE4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Total interest expense</w:t>
            </w:r>
          </w:p>
        </w:tc>
        <w:tc>
          <w:tcPr>
            <w:tcW w:w="1100" w:type="dxa"/>
            <w:vAlign w:val="bottom"/>
            <w:tcBorders>
              <w:bottom w:val="single" w:sz="8" w:color="auto"/>
            </w:tcBorders>
            <w:shd w:val="clear" w:color="auto" w:fill="BFE4FF"/>
          </w:tcPr>
          <w:p>
            <w:pPr>
              <w:jc w:val="right"/>
              <w:ind w:right="90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BFE4FF"/>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ind w:right="100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54</w:t>
            </w:r>
          </w:p>
        </w:tc>
      </w:tr>
      <w:tr>
        <w:trPr>
          <w:trHeight w:val="108"/>
        </w:trPr>
        <w:tc>
          <w:tcPr>
            <w:tcW w:w="960" w:type="dxa"/>
            <w:vAlign w:val="bottom"/>
            <w:tcBorders>
              <w:bottom w:val="single" w:sz="8" w:color="auto"/>
            </w:tcBorders>
          </w:tcPr>
          <w:p>
            <w:pPr>
              <w:spacing w:after="0"/>
              <w:rPr>
                <w:sz w:val="9"/>
                <w:szCs w:val="9"/>
                <w:color w:val="auto"/>
              </w:rPr>
            </w:pPr>
          </w:p>
        </w:tc>
        <w:tc>
          <w:tcPr>
            <w:tcW w:w="7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8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Hatch Note was extinguished on March 13, 2025.</w:t>
      </w:r>
    </w:p>
    <w:p>
      <w:pPr>
        <w:ind w:left="360" w:hanging="352"/>
        <w:spacing w:after="0" w:line="197" w:lineRule="auto"/>
        <w:tabs>
          <w:tab w:leader="none" w:pos="3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Barclays Trade Loan was repaid in full on February 13, 2026.</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Variable Interest Entity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 Top Mountain Development</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Round Top Mountain Development, LLC (“RTMD”) is a variable interest entity (“VIE”), has mining rights at Round Top Mountain in the State of Texas, and is developing processing technology to process the rare earth minerals to be mined at Round Top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408940</wp:posOffset>
            </wp:positionV>
            <wp:extent cx="70465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2021, the Company completed the acquisition of 80% of the equity interests of RTMD, pursuant to a contribution agreement among the Company, Texas Mineral Resources Corp. (“TMRC”), and RTMD, whereby TMRC and the Company contributed their respective rights and interests in Round Top Mountain to RTMD in exchange for equity ownership. Concurrently, the Company, TMRC, and RTMD entered into a limited liability company agreement of RTMD which documented the governance of RTMD. This acquisition resulted in the consolidation of RTMD and the recognition of a noncontrolling interest representing TMRC’s equity interest.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amended and restated limited liability company agreement of RTMD, in the event that TMRC does not fund its share of mandatory capital contributions called for by the Company as the manager of RTMD, the Company is obligated to cover the shortfall by making additional capital contributions to RTMD (or in the event that the Company does not fund, the capital call will be withdrawn). If the Company does fund the capital contribution, additional equity interests in RTMD will be issued to the Company and TMRC will be proportionally diluted in accordance with the terms of the amended and restated limited liability company agreement. TMRC’s failure to fund its share of mandatory capital contributions called under the agreement during the three months ended March 31, 2026 has caused the Company’s ownership interest in RTMD to be increased by 30 basis points.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ownership percentages of the Company and TMRC and the changes in ownership percentages as of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560" w:type="dxa"/>
            <w:vAlign w:val="bottom"/>
          </w:tcPr>
          <w:p>
            <w:pPr>
              <w:ind w:left="460"/>
              <w:spacing w:after="0"/>
              <w:rPr>
                <w:sz w:val="20"/>
                <w:szCs w:val="20"/>
                <w:color w:val="auto"/>
              </w:rPr>
            </w:pPr>
            <w:r>
              <w:rPr>
                <w:rFonts w:ascii="Arial" w:cs="Arial" w:eastAsia="Arial" w:hAnsi="Arial"/>
                <w:sz w:val="14"/>
                <w:szCs w:val="14"/>
                <w:b w:val="1"/>
                <w:bCs w:val="1"/>
                <w:color w:val="auto"/>
              </w:rPr>
              <w:t>March 31,</w:t>
            </w: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Ownership Change</w:t>
            </w: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68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Arial" w:cs="Arial" w:eastAsia="Arial" w:hAnsi="Arial"/>
                <w:sz w:val="13"/>
                <w:szCs w:val="13"/>
                <w:i w:val="1"/>
                <w:iCs w:val="1"/>
                <w:color w:val="auto"/>
              </w:rPr>
              <w:t>(Basis points)</w:t>
            </w:r>
          </w:p>
        </w:tc>
        <w:tc>
          <w:tcPr>
            <w:tcW w:w="0" w:type="dxa"/>
            <w:vAlign w:val="bottom"/>
          </w:tcPr>
          <w:p>
            <w:pPr>
              <w:spacing w:after="0"/>
              <w:rPr>
                <w:sz w:val="1"/>
                <w:szCs w:val="1"/>
                <w:color w:val="auto"/>
              </w:rPr>
            </w:pPr>
          </w:p>
        </w:tc>
      </w:tr>
      <w:tr>
        <w:trPr>
          <w:trHeight w:val="222"/>
        </w:trPr>
        <w:tc>
          <w:tcPr>
            <w:tcW w:w="6560" w:type="dxa"/>
            <w:vAlign w:val="bottom"/>
            <w:shd w:val="clear" w:color="auto" w:fill="BFE4FF"/>
          </w:tcPr>
          <w:p>
            <w:pPr>
              <w:ind w:left="20"/>
              <w:spacing w:after="0"/>
              <w:rPr>
                <w:sz w:val="20"/>
                <w:szCs w:val="20"/>
                <w:color w:val="auto"/>
              </w:rPr>
            </w:pPr>
            <w:r>
              <w:rPr>
                <w:rFonts w:ascii="Arial" w:cs="Arial" w:eastAsia="Arial" w:hAnsi="Arial"/>
                <w:sz w:val="16"/>
                <w:szCs w:val="16"/>
                <w:color w:val="auto"/>
              </w:rPr>
              <w:t>USA Rare Earth, Inc.</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81.6%</w:t>
            </w:r>
          </w:p>
        </w:tc>
        <w:tc>
          <w:tcPr>
            <w:tcW w:w="1680" w:type="dxa"/>
            <w:vAlign w:val="bottom"/>
            <w:shd w:val="clear" w:color="auto" w:fill="BFE4FF"/>
          </w:tcPr>
          <w:p>
            <w:pPr>
              <w:jc w:val="center"/>
              <w:ind w:left="24"/>
              <w:spacing w:after="0"/>
              <w:rPr>
                <w:sz w:val="20"/>
                <w:szCs w:val="20"/>
                <w:color w:val="auto"/>
              </w:rPr>
            </w:pPr>
            <w:r>
              <w:rPr>
                <w:rFonts w:ascii="Arial" w:cs="Arial" w:eastAsia="Arial" w:hAnsi="Arial"/>
                <w:sz w:val="16"/>
                <w:szCs w:val="16"/>
                <w:color w:val="auto"/>
              </w:rPr>
              <w:t>81.3%</w:t>
            </w:r>
          </w:p>
        </w:tc>
        <w:tc>
          <w:tcPr>
            <w:tcW w:w="80" w:type="dxa"/>
            <w:vAlign w:val="bottom"/>
            <w:shd w:val="clear" w:color="auto" w:fill="BFE4FF"/>
          </w:tcPr>
          <w:p>
            <w:pPr>
              <w:spacing w:after="0"/>
              <w:rPr>
                <w:sz w:val="19"/>
                <w:szCs w:val="19"/>
                <w:color w:val="auto"/>
              </w:rPr>
            </w:pPr>
          </w:p>
        </w:tc>
        <w:tc>
          <w:tcPr>
            <w:tcW w:w="1360" w:type="dxa"/>
            <w:vAlign w:val="bottom"/>
            <w:shd w:val="clear" w:color="auto" w:fill="BFE4FF"/>
          </w:tcPr>
          <w:p>
            <w:pPr>
              <w:jc w:val="right"/>
              <w:ind w:right="506"/>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Texas Mineral Resources Corp.</w:t>
            </w:r>
          </w:p>
        </w:tc>
        <w:tc>
          <w:tcPr>
            <w:tcW w:w="1560" w:type="dxa"/>
            <w:vAlign w:val="bottom"/>
          </w:tcPr>
          <w:p>
            <w:pPr>
              <w:jc w:val="center"/>
              <w:spacing w:after="0"/>
              <w:rPr>
                <w:sz w:val="20"/>
                <w:szCs w:val="20"/>
                <w:color w:val="auto"/>
              </w:rPr>
            </w:pPr>
            <w:r>
              <w:rPr>
                <w:rFonts w:ascii="Arial" w:cs="Arial" w:eastAsia="Arial" w:hAnsi="Arial"/>
                <w:sz w:val="16"/>
                <w:szCs w:val="16"/>
                <w:color w:val="auto"/>
              </w:rPr>
              <w:t>18.4%</w:t>
            </w:r>
          </w:p>
        </w:tc>
        <w:tc>
          <w:tcPr>
            <w:tcW w:w="1680" w:type="dxa"/>
            <w:vAlign w:val="bottom"/>
          </w:tcPr>
          <w:p>
            <w:pPr>
              <w:jc w:val="center"/>
              <w:ind w:left="24"/>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1360" w:type="dxa"/>
            <w:vAlign w:val="bottom"/>
          </w:tcPr>
          <w:p>
            <w:pPr>
              <w:jc w:val="right"/>
              <w:ind w:right="466"/>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Mineral Resources Corp. Acquisition</w:t>
      </w:r>
    </w:p>
    <w:p>
      <w:pPr>
        <w:spacing w:after="0" w:line="25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On March 4, 2026, the Company entered into a definitive Agreement and Plan of Merger with TMRC, pursuant to which the Company is expected to acquire 100% of the outstanding shares of TMRC in an all</w:t>
      </w:r>
      <w:r>
        <w:rPr>
          <w:rFonts w:ascii="MS PGothic" w:cs="MS PGothic" w:eastAsia="MS PGothic" w:hAnsi="MS PGothic"/>
          <w:sz w:val="18"/>
          <w:szCs w:val="18"/>
          <w:color w:val="auto"/>
        </w:rPr>
        <w:t>‑</w:t>
      </w:r>
      <w:r>
        <w:rPr>
          <w:rFonts w:ascii="Arial" w:cs="Arial" w:eastAsia="Arial" w:hAnsi="Arial"/>
          <w:sz w:val="18"/>
          <w:szCs w:val="18"/>
          <w:color w:val="auto"/>
        </w:rPr>
        <w:t>stock transaction. The acquisition will eliminate TMRC’s minority ownership interests in RTMD and establish the Company as the sole operator and 100% economic beneficiary of the “Round Top Project,” which consists of our operations and rights related to Round Top Mountain and the Round Top Mountain heavy rare earth element (“HREE”) metals deposit (the “Round Top Deposit”). The transaction is intended to secure full ownership control of the project, and streamline operations, governance and decision-making.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transaction is valued at approximately $72.3 million based on the closing price of the Company’s common stock on March 4, 2026. The aggregate merger consideration consists of approximately 3.8 million shares of the Company’s common stock, with cash paid in lieu of fractional shares. The ultimate value of the consideration will depend on the Company’s stock price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420370</wp:posOffset>
            </wp:positionV>
            <wp:extent cx="7046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assets and liabilities of RTMD that are included in the Company’s Condensed Consolidated Balance Sheets as of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r>
      <w:tr>
        <w:trPr>
          <w:trHeight w:val="157"/>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4"/>
          </w:tcPr>
          <w:p>
            <w:pPr>
              <w:jc w:val="right"/>
              <w:ind w:right="1140"/>
              <w:spacing w:after="0"/>
              <w:rPr>
                <w:sz w:val="20"/>
                <w:szCs w:val="20"/>
                <w:color w:val="auto"/>
              </w:rPr>
            </w:pPr>
            <w:r>
              <w:rPr>
                <w:rFonts w:ascii="Arial" w:cs="Arial" w:eastAsia="Arial" w:hAnsi="Arial"/>
                <w:sz w:val="13"/>
                <w:szCs w:val="13"/>
                <w:i w:val="1"/>
                <w:iCs w:val="1"/>
                <w:color w:val="auto"/>
              </w:rPr>
              <w:t>(In thousands)</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321</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Mineral interests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17,339</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201</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Equipment deposits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27</w:t>
            </w:r>
          </w:p>
        </w:tc>
      </w:tr>
      <w:tr>
        <w:trPr>
          <w:trHeight w:val="203"/>
        </w:trPr>
        <w:tc>
          <w:tcPr>
            <w:tcW w:w="798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18,032</w:t>
            </w:r>
          </w:p>
        </w:tc>
      </w:tr>
      <w:tr>
        <w:trPr>
          <w:trHeight w:val="47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7"/>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Finance leases, current</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Finance leases, non-current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17"/>
        </w:trPr>
        <w:tc>
          <w:tcPr>
            <w:tcW w:w="79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2,969</w:t>
            </w:r>
          </w:p>
        </w:tc>
        <w:tc>
          <w:tcPr>
            <w:tcW w:w="10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852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RTMD did not record depletion expense for the mineral interests for the three months ended March 31, 2026 and 2025.</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RTMD’s creditors have no recourse against the Company for the RTMD consolidated liabilities included within the Company’s Condensed Consolidated Balance Sheets as of March 31, 2026 and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consolidated VIE can only be used to settle the obligations of the consolidated VIE and not the obligations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Mineral Rights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acquired two mineral rights leases and an associated groundwater lease in Hudspeth County, Texas as part of the acquisition of RTMD. Mineral property acquisition costs, including acquired intangibles, licenses, and lease payments, are capitalized at cost. The net carrying value of mineral rights was $17.3 million at March 31, 2026 and December 31,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Impairment losses are recorded on mineral rights when indicators of impairment are present and the carrying amount exceeds the associated estimated future undiscounted cash flows. As of March 31, 2026 and December 31, 2025, the Company determined that no impairment indicators were present with respect to its mineral rights.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Environmental Contingency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planned exploration and development activities are subject to various federal and state laws and regulations governing the protection of the environment. These laws and regulations are continually changing and generally have become more restrictive. The Company conducts its operations to protect public health and the environment and believes its current operations are materially in compliance with all applicable laws and regulations. As the Company's mining activities have not yet commenced, the Company has made, and expects to make, expenditures to comply with applicable environmental laws and regulations. The ultimate amount of reclamation and site-restoration costs to be incurred for future mining operations is unknown and uncertain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436245</wp:posOffset>
            </wp:positionV>
            <wp:extent cx="7046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may become subject to legal proceedings, claims or litigation arising in the ordinary course of business. In addition, the Company may receive notices alleging infringement of patents or other intellectual property rights. The outcomes of any legal proceedings, claims, notices or litigation are subject to uncertainty, and any claims against the Company, whether meritorious or not, can be time-consuming, result in costly litigation, require significant management time, create negative perceptions with communities, stakeholders, and government agencies and result in the diversion of significant operational resources. If an unfavorable outcome was to occur in any proceeding, claim or litigation, the Company could be adversely affected in the period in which they are resolved and the impact could be material to the Company’s business, financial condition, cash flow or results of operations, depending on the specific circumstances of the outcome. The Company accrues loss contingencies when it is both probable that the Company will incur the loss and when it can reasonably estimate the amount of the loss or range of loss.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Kelley Complaint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16, 2025, Jill Kelley filed an action in New York Supreme Court against USA Rare Earth, LLC (Case No. 659163/2025 (N.Y. Sup.)) alleging a breach of a 2019 Consulting Agreement resulting from a purported partial payment of the obligations thereunder. Kelley also asserts claims for breach of a duty of good faith and fair dealing and unjust enrichment based on the same conduct underlying the alleged breach of the Consulting Agreement.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2026, the Company proposed to settle the matter. The Company determined that the proposed settlement consideration, consisting of cash, cash payments in lieu of equity awards, and interest, was both probable and reasonably estimable and, accordingly, recorded an estimated loss contingency of approximately $0.4 million in the accompanying Condensed Consolidated Statement of Operations and Comprehensive (Loss) Income. Subsequent to March 31, 2026 and through the date of this Report, the settlement agreement has not been finalized. Any settlement, if consummated, will not constitute an admission of liability by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Components and Lease Activity</w:t>
      </w:r>
    </w:p>
    <w:p>
      <w:pPr>
        <w:spacing w:after="0" w:line="210"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The following table presents the Company's finance and operating lease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and lease liabilities as reflected in the accompanying Condensed Consolidated Balance Sheets as of the dates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157"/>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4"/>
          </w:tcPr>
          <w:p>
            <w:pPr>
              <w:jc w:val="right"/>
              <w:ind w:right="1141"/>
              <w:spacing w:after="0"/>
              <w:rPr>
                <w:sz w:val="20"/>
                <w:szCs w:val="20"/>
                <w:color w:val="auto"/>
              </w:rPr>
            </w:pPr>
            <w:r>
              <w:rPr>
                <w:rFonts w:ascii="Arial" w:cs="Arial" w:eastAsia="Arial" w:hAnsi="Arial"/>
                <w:sz w:val="13"/>
                <w:szCs w:val="13"/>
                <w:i w:val="1"/>
                <w:iCs w:val="1"/>
                <w:color w:val="auto"/>
              </w:rPr>
              <w:t>(In thousands)</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Finance leases, included in property, plant and equipment, net</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1,043</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321</w:t>
            </w:r>
          </w:p>
        </w:tc>
      </w:tr>
      <w:tr>
        <w:trPr>
          <w:trHeight w:val="217"/>
        </w:trPr>
        <w:tc>
          <w:tcPr>
            <w:tcW w:w="798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1,364</w:t>
            </w:r>
          </w:p>
        </w:tc>
      </w:tr>
      <w:tr>
        <w:trPr>
          <w:trHeight w:val="20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Finance leases, current</w:t>
            </w:r>
          </w:p>
        </w:tc>
        <w:tc>
          <w:tcPr>
            <w:tcW w:w="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283</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Finance leases, non-current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592</w:t>
            </w:r>
          </w:p>
        </w:tc>
      </w:tr>
      <w:tr>
        <w:trPr>
          <w:trHeight w:val="210"/>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Total finance lease liabilities</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875</w:t>
            </w:r>
          </w:p>
        </w:tc>
      </w:tr>
      <w:tr>
        <w:trPr>
          <w:trHeight w:val="223"/>
        </w:trPr>
        <w:tc>
          <w:tcPr>
            <w:tcW w:w="798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7980" w:type="dxa"/>
            <w:vAlign w:val="bottom"/>
            <w:shd w:val="clear" w:color="auto" w:fill="BFE4FF"/>
          </w:tcPr>
          <w:p>
            <w:pPr>
              <w:ind w:left="20"/>
              <w:spacing w:after="0"/>
              <w:rPr>
                <w:sz w:val="20"/>
                <w:szCs w:val="20"/>
                <w:color w:val="auto"/>
              </w:rPr>
            </w:pPr>
            <w:r>
              <w:rPr>
                <w:rFonts w:ascii="Arial" w:cs="Arial" w:eastAsia="Arial" w:hAnsi="Arial"/>
                <w:sz w:val="16"/>
                <w:szCs w:val="16"/>
                <w:color w:val="auto"/>
              </w:rPr>
              <w:t>Operating leases, current</w:t>
            </w:r>
          </w:p>
        </w:tc>
        <w:tc>
          <w:tcPr>
            <w:tcW w:w="2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3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137</w:t>
            </w:r>
          </w:p>
        </w:tc>
      </w:tr>
      <w:tr>
        <w:trPr>
          <w:trHeight w:val="215"/>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Operating leases, non-current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w:t>
            </w:r>
          </w:p>
        </w:tc>
      </w:tr>
      <w:tr>
        <w:trPr>
          <w:trHeight w:val="210"/>
        </w:trPr>
        <w:tc>
          <w:tcPr>
            <w:tcW w:w="79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BFE4FF"/>
          </w:tcPr>
          <w:p>
            <w:pPr>
              <w:spacing w:after="0"/>
              <w:rPr>
                <w:sz w:val="18"/>
                <w:szCs w:val="18"/>
                <w:color w:val="auto"/>
              </w:rPr>
            </w:pPr>
          </w:p>
        </w:tc>
        <w:tc>
          <w:tcPr>
            <w:tcW w:w="220" w:type="dxa"/>
            <w:vAlign w:val="bottom"/>
            <w:tcBorders>
              <w:bottom w:val="single" w:sz="8" w:color="auto"/>
            </w:tcBorders>
            <w:shd w:val="clear" w:color="auto" w:fill="BFE4FF"/>
          </w:tcPr>
          <w:p>
            <w:pPr>
              <w:spacing w:after="0"/>
              <w:rPr>
                <w:sz w:val="18"/>
                <w:szCs w:val="18"/>
                <w:color w:val="auto"/>
              </w:rPr>
            </w:pPr>
          </w:p>
        </w:tc>
        <w:tc>
          <w:tcPr>
            <w:tcW w:w="13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322</w:t>
            </w:r>
          </w:p>
        </w:tc>
      </w:tr>
      <w:tr>
        <w:trPr>
          <w:trHeight w:val="216"/>
        </w:trPr>
        <w:tc>
          <w:tcPr>
            <w:tcW w:w="7980" w:type="dxa"/>
            <w:vAlign w:val="bottom"/>
          </w:tcPr>
          <w:p>
            <w:pPr>
              <w:ind w:left="240"/>
              <w:spacing w:after="0"/>
              <w:rPr>
                <w:sz w:val="20"/>
                <w:szCs w:val="20"/>
                <w:color w:val="auto"/>
              </w:rPr>
            </w:pPr>
            <w:r>
              <w:rPr>
                <w:rFonts w:ascii="Arial" w:cs="Arial" w:eastAsia="Arial" w:hAnsi="Arial"/>
                <w:sz w:val="16"/>
                <w:szCs w:val="16"/>
                <w:color w:val="auto"/>
              </w:rPr>
              <w:t>Total lease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488315</wp:posOffset>
            </wp:positionV>
            <wp:extent cx="7046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finance and operating lease activity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196"/>
        </w:trPr>
        <w:tc>
          <w:tcPr>
            <w:tcW w:w="7840" w:type="dxa"/>
            <w:vAlign w:val="bottom"/>
          </w:tcPr>
          <w:p>
            <w:pPr>
              <w:spacing w:after="0"/>
              <w:rPr>
                <w:sz w:val="17"/>
                <w:szCs w:val="17"/>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r>
      <w:tr>
        <w:trPr>
          <w:trHeight w:val="158"/>
        </w:trPr>
        <w:tc>
          <w:tcPr>
            <w:tcW w:w="7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gridSpan w:val="2"/>
          </w:tcPr>
          <w:p>
            <w:pPr>
              <w:jc w:val="right"/>
              <w:ind w:right="662"/>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Pr>
          <w:p>
            <w:pPr>
              <w:spacing w:after="0"/>
              <w:rPr>
                <w:sz w:val="13"/>
                <w:szCs w:val="13"/>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7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Right-of-use assets acquired</w:t>
            </w:r>
          </w:p>
        </w:tc>
        <w:tc>
          <w:tcPr>
            <w:tcW w:w="1160" w:type="dxa"/>
            <w:vAlign w:val="bottom"/>
            <w:shd w:val="clear" w:color="auto" w:fill="BFE4FF"/>
          </w:tcPr>
          <w:p>
            <w:pPr>
              <w:jc w:val="right"/>
              <w:ind w:right="9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jc w:val="right"/>
              <w:ind w:right="842"/>
              <w:spacing w:after="0"/>
              <w:rPr>
                <w:sz w:val="20"/>
                <w:szCs w:val="20"/>
                <w:color w:val="auto"/>
              </w:rPr>
            </w:pPr>
            <w:r>
              <w:rPr>
                <w:rFonts w:ascii="Arial" w:cs="Arial" w:eastAsia="Arial" w:hAnsi="Arial"/>
                <w:sz w:val="16"/>
                <w:szCs w:val="16"/>
                <w:color w:val="auto"/>
              </w:rPr>
              <w:t>$</w:t>
            </w:r>
          </w:p>
        </w:tc>
        <w:tc>
          <w:tcPr>
            <w:tcW w:w="5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1,233</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11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Interest expense</w:t>
            </w:r>
          </w:p>
        </w:tc>
        <w:tc>
          <w:tcPr>
            <w:tcW w:w="1160" w:type="dxa"/>
            <w:vAlign w:val="bottom"/>
            <w:shd w:val="clear" w:color="auto" w:fill="BFE4FF"/>
          </w:tcPr>
          <w:p>
            <w:pPr>
              <w:spacing w:after="0"/>
              <w:rPr>
                <w:sz w:val="18"/>
                <w:szCs w:val="18"/>
                <w:color w:val="auto"/>
              </w:rPr>
            </w:pPr>
          </w:p>
        </w:tc>
        <w:tc>
          <w:tcPr>
            <w:tcW w:w="58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9</w:t>
            </w:r>
          </w:p>
        </w:tc>
        <w:tc>
          <w:tcPr>
            <w:tcW w:w="1100" w:type="dxa"/>
            <w:vAlign w:val="bottom"/>
            <w:shd w:val="clear" w:color="auto" w:fill="BFE4FF"/>
          </w:tcPr>
          <w:p>
            <w:pPr>
              <w:spacing w:after="0"/>
              <w:rPr>
                <w:sz w:val="18"/>
                <w:szCs w:val="18"/>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w:t>
            </w:r>
          </w:p>
        </w:tc>
      </w:tr>
      <w:tr>
        <w:trPr>
          <w:trHeight w:val="285"/>
        </w:trPr>
        <w:tc>
          <w:tcPr>
            <w:tcW w:w="7840" w:type="dxa"/>
            <w:vAlign w:val="bottom"/>
          </w:tcPr>
          <w:p>
            <w:pPr>
              <w:ind w:left="20"/>
              <w:spacing w:after="0"/>
              <w:rPr>
                <w:sz w:val="20"/>
                <w:szCs w:val="20"/>
                <w:color w:val="auto"/>
              </w:rPr>
            </w:pPr>
            <w:r>
              <w:rPr>
                <w:rFonts w:ascii="Arial" w:cs="Arial" w:eastAsia="Arial" w:hAnsi="Arial"/>
                <w:sz w:val="16"/>
                <w:szCs w:val="16"/>
                <w:color w:val="auto"/>
              </w:rPr>
              <w:t xml:space="preserve">Cash paid </w:t>
            </w:r>
            <w:r>
              <w:rPr>
                <w:rFonts w:ascii="Arial" w:cs="Arial" w:eastAsia="Arial" w:hAnsi="Arial"/>
                <w:sz w:val="21"/>
                <w:szCs w:val="21"/>
                <w:color w:val="auto"/>
                <w:vertAlign w:val="superscript"/>
              </w:rPr>
              <w:t>(1)</w:t>
            </w:r>
          </w:p>
        </w:tc>
        <w:tc>
          <w:tcPr>
            <w:tcW w:w="116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1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7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Right-of-use asset acquired</w:t>
            </w:r>
          </w:p>
        </w:tc>
        <w:tc>
          <w:tcPr>
            <w:tcW w:w="1160" w:type="dxa"/>
            <w:vAlign w:val="bottom"/>
            <w:shd w:val="clear" w:color="auto" w:fill="BFE4FF"/>
          </w:tcPr>
          <w:p>
            <w:pPr>
              <w:jc w:val="right"/>
              <w:ind w:right="9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209</w:t>
            </w:r>
          </w:p>
        </w:tc>
        <w:tc>
          <w:tcPr>
            <w:tcW w:w="1100" w:type="dxa"/>
            <w:vAlign w:val="bottom"/>
            <w:shd w:val="clear" w:color="auto" w:fill="BFE4FF"/>
          </w:tcPr>
          <w:p>
            <w:pPr>
              <w:jc w:val="right"/>
              <w:ind w:right="842"/>
              <w:spacing w:after="0"/>
              <w:rPr>
                <w:sz w:val="20"/>
                <w:szCs w:val="20"/>
                <w:color w:val="auto"/>
              </w:rPr>
            </w:pPr>
            <w:r>
              <w:rPr>
                <w:rFonts w:ascii="Arial" w:cs="Arial" w:eastAsia="Arial" w:hAnsi="Arial"/>
                <w:sz w:val="16"/>
                <w:szCs w:val="16"/>
                <w:color w:val="auto"/>
              </w:rPr>
              <w:t>$</w:t>
            </w:r>
          </w:p>
        </w:tc>
        <w:tc>
          <w:tcPr>
            <w:tcW w:w="5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Amortization of ROU Assets</w:t>
            </w:r>
          </w:p>
        </w:tc>
        <w:tc>
          <w:tcPr>
            <w:tcW w:w="11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57</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7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Lease expense</w:t>
            </w:r>
          </w:p>
        </w:tc>
        <w:tc>
          <w:tcPr>
            <w:tcW w:w="1160" w:type="dxa"/>
            <w:vAlign w:val="bottom"/>
            <w:shd w:val="clear" w:color="auto" w:fill="BFE4FF"/>
          </w:tcPr>
          <w:p>
            <w:pPr>
              <w:spacing w:after="0"/>
              <w:rPr>
                <w:sz w:val="18"/>
                <w:szCs w:val="18"/>
                <w:color w:val="auto"/>
              </w:rPr>
            </w:pPr>
          </w:p>
        </w:tc>
        <w:tc>
          <w:tcPr>
            <w:tcW w:w="58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62</w:t>
            </w:r>
          </w:p>
        </w:tc>
        <w:tc>
          <w:tcPr>
            <w:tcW w:w="1100" w:type="dxa"/>
            <w:vAlign w:val="bottom"/>
            <w:shd w:val="clear" w:color="auto" w:fill="BFE4FF"/>
          </w:tcPr>
          <w:p>
            <w:pPr>
              <w:spacing w:after="0"/>
              <w:rPr>
                <w:sz w:val="18"/>
                <w:szCs w:val="18"/>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w:t>
            </w:r>
          </w:p>
        </w:tc>
      </w:tr>
      <w:tr>
        <w:trPr>
          <w:trHeight w:val="285"/>
        </w:trPr>
        <w:tc>
          <w:tcPr>
            <w:tcW w:w="7840" w:type="dxa"/>
            <w:vAlign w:val="bottom"/>
          </w:tcPr>
          <w:p>
            <w:pPr>
              <w:ind w:left="20"/>
              <w:spacing w:after="0"/>
              <w:rPr>
                <w:sz w:val="20"/>
                <w:szCs w:val="20"/>
                <w:color w:val="auto"/>
              </w:rPr>
            </w:pPr>
            <w:r>
              <w:rPr>
                <w:rFonts w:ascii="Arial" w:cs="Arial" w:eastAsia="Arial" w:hAnsi="Arial"/>
                <w:sz w:val="16"/>
                <w:szCs w:val="16"/>
                <w:color w:val="auto"/>
              </w:rPr>
              <w:t xml:space="preserve">Cash paid </w:t>
            </w:r>
            <w:r>
              <w:rPr>
                <w:rFonts w:ascii="Arial" w:cs="Arial" w:eastAsia="Arial" w:hAnsi="Arial"/>
                <w:sz w:val="21"/>
                <w:szCs w:val="21"/>
                <w:color w:val="auto"/>
                <w:vertAlign w:val="superscript"/>
              </w:rPr>
              <w:t>(1)</w:t>
            </w:r>
          </w:p>
        </w:tc>
        <w:tc>
          <w:tcPr>
            <w:tcW w:w="116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60</w:t>
            </w:r>
          </w:p>
        </w:tc>
        <w:tc>
          <w:tcPr>
            <w:tcW w:w="1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00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2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Cash paid for amounts included in the measurement of lease liabilities.</w:t>
      </w:r>
    </w:p>
    <w:p>
      <w:pPr>
        <w:spacing w:after="0" w:line="22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On December 17, 2025, the Company entered into a lease for office and warehouse space in Wheat Ridge, Colorado, to support the Company’s research and development activities. The lease commenced on January 1, 2026 and expires on March 31, 2028. Total minimum lease payments over the lease term are $224 thousand, excluding variable costs such as taxes and common area maintenance. Under Accounting Standards Codification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r>
        <w:rPr>
          <w:rFonts w:ascii="Arial" w:cs="Arial" w:eastAsia="Arial" w:hAnsi="Arial"/>
          <w:sz w:val="18"/>
          <w:szCs w:val="18"/>
          <w:i w:val="1"/>
          <w:iCs w:val="1"/>
          <w:color w:val="auto"/>
        </w:rPr>
        <w:t>, a</w:t>
      </w:r>
      <w:r>
        <w:rPr>
          <w:rFonts w:ascii="Arial" w:cs="Arial" w:eastAsia="Arial" w:hAnsi="Arial"/>
          <w:sz w:val="18"/>
          <w:szCs w:val="18"/>
          <w:color w:val="auto"/>
        </w:rPr>
        <w:t xml:space="preserve">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 and lease liability have been recognized as of January 1, 2026.</w:t>
      </w:r>
    </w:p>
    <w:p>
      <w:pPr>
        <w:spacing w:after="0" w:line="22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On February 27, 2026, the Company entered into a non-cancelable operating lease for office space in Washington, D.C. to support general and administrative functions. The Company obtained control of the premises on April 1, 2026 for the purpose of performing leasehold improvements, which represents the lease commencement date under ASC 842. While the lease commenced on April 1, 2026, fixed rent payments commence on July 1, 2026, and the lease expires on August 31, 2032. Total minimum lease payments over the lease term are $3.0 million, excluding variable costs such as taxes and common area maintenance. A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 and lease liability were recognized as of April 1, 2026.</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Lease Terms and Discount Rates</w:t>
      </w:r>
    </w:p>
    <w:p>
      <w:pPr>
        <w:spacing w:after="0" w:line="210" w:lineRule="exact"/>
        <w:rPr>
          <w:sz w:val="20"/>
          <w:szCs w:val="20"/>
          <w:color w:val="auto"/>
        </w:rPr>
      </w:pPr>
    </w:p>
    <w:p>
      <w:pPr>
        <w:jc w:val="both"/>
        <w:ind w:right="20"/>
        <w:spacing w:after="0" w:line="259" w:lineRule="exact"/>
        <w:rPr>
          <w:sz w:val="20"/>
          <w:szCs w:val="20"/>
          <w:color w:val="auto"/>
        </w:rPr>
      </w:pPr>
      <w:r>
        <w:rPr>
          <w:rFonts w:ascii="Arial" w:cs="Arial" w:eastAsia="Arial" w:hAnsi="Arial"/>
          <w:sz w:val="18"/>
          <w:szCs w:val="18"/>
          <w:color w:val="auto"/>
        </w:rPr>
        <w:t>The following table presents the weighted</w:t>
      </w:r>
      <w:r>
        <w:rPr>
          <w:rFonts w:ascii="MS PGothic" w:cs="MS PGothic" w:eastAsia="MS PGothic" w:hAnsi="MS PGothic"/>
          <w:sz w:val="18"/>
          <w:szCs w:val="18"/>
          <w:color w:val="auto"/>
        </w:rPr>
        <w:t>‑</w:t>
      </w:r>
      <w:r>
        <w:rPr>
          <w:rFonts w:ascii="Arial" w:cs="Arial" w:eastAsia="Arial" w:hAnsi="Arial"/>
          <w:sz w:val="18"/>
          <w:szCs w:val="18"/>
          <w:color w:val="auto"/>
        </w:rPr>
        <w:t>average remaining lease terms (in years) and weighted</w:t>
      </w:r>
      <w:r>
        <w:rPr>
          <w:rFonts w:ascii="MS PGothic" w:cs="MS PGothic" w:eastAsia="MS PGothic" w:hAnsi="MS PGothic"/>
          <w:sz w:val="18"/>
          <w:szCs w:val="18"/>
          <w:color w:val="auto"/>
        </w:rPr>
        <w:t>‑</w:t>
      </w:r>
      <w:r>
        <w:rPr>
          <w:rFonts w:ascii="Arial" w:cs="Arial" w:eastAsia="Arial" w:hAnsi="Arial"/>
          <w:sz w:val="18"/>
          <w:szCs w:val="18"/>
          <w:color w:val="auto"/>
        </w:rPr>
        <w:t>average discount rates used in the measurement of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as of the dates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196"/>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Remaining lease term (years)</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BFE4FF"/>
          </w:tcPr>
          <w:p>
            <w:pPr>
              <w:spacing w:after="0"/>
              <w:rPr>
                <w:sz w:val="18"/>
                <w:szCs w:val="18"/>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3.00</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560" w:type="dxa"/>
            <w:vAlign w:val="bottom"/>
          </w:tcPr>
          <w:p>
            <w:pPr>
              <w:jc w:val="center"/>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4.40%</w:t>
            </w:r>
          </w:p>
        </w:tc>
      </w:tr>
      <w:tr>
        <w:trPr>
          <w:trHeight w:val="325"/>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8020" w:type="dxa"/>
            <w:vAlign w:val="bottom"/>
            <w:shd w:val="clear" w:color="auto" w:fill="BFE4FF"/>
          </w:tcPr>
          <w:p>
            <w:pPr>
              <w:ind w:left="20"/>
              <w:spacing w:after="0"/>
              <w:rPr>
                <w:sz w:val="20"/>
                <w:szCs w:val="20"/>
                <w:color w:val="auto"/>
              </w:rPr>
            </w:pPr>
            <w:r>
              <w:rPr>
                <w:rFonts w:ascii="Arial" w:cs="Arial" w:eastAsia="Arial" w:hAnsi="Arial"/>
                <w:sz w:val="16"/>
                <w:szCs w:val="16"/>
                <w:color w:val="auto"/>
              </w:rPr>
              <w:t>Remaining lease term (years)</w:t>
            </w: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BFE4FF"/>
          </w:tcPr>
          <w:p>
            <w:pPr>
              <w:spacing w:after="0"/>
              <w:rPr>
                <w:sz w:val="18"/>
                <w:szCs w:val="18"/>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2.25</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560" w:type="dxa"/>
            <w:vAlign w:val="bottom"/>
          </w:tcPr>
          <w:p>
            <w:pPr>
              <w:jc w:val="center"/>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497840</wp:posOffset>
            </wp:positionV>
            <wp:extent cx="7046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Maturities of Lease Liabilities</w:t>
      </w:r>
    </w:p>
    <w:p>
      <w:pPr>
        <w:spacing w:after="0" w:line="210" w:lineRule="exact"/>
        <w:rPr>
          <w:sz w:val="20"/>
          <w:szCs w:val="20"/>
          <w:color w:val="auto"/>
        </w:rPr>
      </w:pPr>
    </w:p>
    <w:p>
      <w:pPr>
        <w:jc w:val="both"/>
        <w:ind w:right="20"/>
        <w:spacing w:after="0" w:line="247" w:lineRule="exact"/>
        <w:rPr>
          <w:sz w:val="20"/>
          <w:szCs w:val="20"/>
          <w:color w:val="auto"/>
        </w:rPr>
      </w:pPr>
      <w:r>
        <w:rPr>
          <w:rFonts w:ascii="Arial" w:cs="Arial" w:eastAsia="Arial" w:hAnsi="Arial"/>
          <w:sz w:val="18"/>
          <w:szCs w:val="18"/>
          <w:color w:val="auto"/>
        </w:rPr>
        <w:t>The following table presents future minimum lease payments under non</w:t>
      </w:r>
      <w:r>
        <w:rPr>
          <w:rFonts w:ascii="MS PGothic" w:cs="MS PGothic" w:eastAsia="MS PGothic" w:hAnsi="MS PGothic"/>
          <w:sz w:val="18"/>
          <w:szCs w:val="18"/>
          <w:color w:val="auto"/>
        </w:rPr>
        <w:t>‑</w:t>
      </w:r>
      <w:r>
        <w:rPr>
          <w:rFonts w:ascii="Arial" w:cs="Arial" w:eastAsia="Arial" w:hAnsi="Arial"/>
          <w:sz w:val="18"/>
          <w:szCs w:val="18"/>
          <w:color w:val="auto"/>
        </w:rPr>
        <w:t>cancelable finance and operating leases on an undiscounted cash flow basis as of March 31, 2026.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140" w:type="dxa"/>
            <w:vAlign w:val="bottom"/>
          </w:tcPr>
          <w:p>
            <w:pPr>
              <w:spacing w:after="0"/>
              <w:rPr>
                <w:sz w:val="17"/>
                <w:szCs w:val="17"/>
                <w:color w:val="auto"/>
              </w:rPr>
            </w:pPr>
          </w:p>
        </w:tc>
        <w:tc>
          <w:tcPr>
            <w:tcW w:w="1440" w:type="dxa"/>
            <w:vAlign w:val="bottom"/>
          </w:tcPr>
          <w:p>
            <w:pPr>
              <w:jc w:val="right"/>
              <w:ind w:right="100"/>
              <w:spacing w:after="0"/>
              <w:rPr>
                <w:sz w:val="20"/>
                <w:szCs w:val="20"/>
                <w:color w:val="auto"/>
              </w:rPr>
            </w:pPr>
            <w:r>
              <w:rPr>
                <w:rFonts w:ascii="Arial" w:cs="Arial" w:eastAsia="Arial" w:hAnsi="Arial"/>
                <w:sz w:val="14"/>
                <w:szCs w:val="14"/>
                <w:b w:val="1"/>
                <w:bCs w:val="1"/>
                <w:color w:val="auto"/>
              </w:rPr>
              <w:t>Operating Leases</w:t>
            </w:r>
          </w:p>
        </w:tc>
      </w:tr>
      <w:tr>
        <w:trPr>
          <w:trHeight w:val="164"/>
        </w:trPr>
        <w:tc>
          <w:tcPr>
            <w:tcW w:w="3060" w:type="dxa"/>
            <w:vAlign w:val="bottom"/>
            <w:tcBorders>
              <w:top w:val="single" w:sz="8" w:color="auto"/>
            </w:tcBorders>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gridSpan w:val="4"/>
          </w:tcPr>
          <w:p>
            <w:pPr>
              <w:jc w:val="right"/>
              <w:ind w:right="1140"/>
              <w:spacing w:after="0"/>
              <w:rPr>
                <w:sz w:val="20"/>
                <w:szCs w:val="20"/>
                <w:color w:val="auto"/>
              </w:rPr>
            </w:pPr>
            <w:r>
              <w:rPr>
                <w:rFonts w:ascii="Arial" w:cs="Arial" w:eastAsia="Arial" w:hAnsi="Arial"/>
                <w:sz w:val="13"/>
                <w:szCs w:val="13"/>
                <w:i w:val="1"/>
                <w:iCs w:val="1"/>
                <w:color w:val="auto"/>
              </w:rPr>
              <w:t>(In thousands)</w:t>
            </w: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2026 (remaining nine months)</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184</w:t>
            </w: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2027</w:t>
            </w: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7"/>
        </w:trPr>
        <w:tc>
          <w:tcPr>
            <w:tcW w:w="3060" w:type="dxa"/>
            <w:vAlign w:val="bottom"/>
            <w:shd w:val="clear" w:color="auto" w:fill="BFE4FF"/>
          </w:tcPr>
          <w:p>
            <w:pPr>
              <w:ind w:left="20"/>
              <w:spacing w:after="0"/>
              <w:rPr>
                <w:sz w:val="20"/>
                <w:szCs w:val="20"/>
                <w:color w:val="auto"/>
              </w:rPr>
            </w:pPr>
            <w:r>
              <w:rPr>
                <w:rFonts w:ascii="Arial" w:cs="Arial" w:eastAsia="Arial" w:hAnsi="Arial"/>
                <w:sz w:val="16"/>
                <w:szCs w:val="16"/>
                <w:color w:val="auto"/>
              </w:rPr>
              <w:t>2028</w:t>
            </w:r>
          </w:p>
        </w:tc>
        <w:tc>
          <w:tcPr>
            <w:tcW w:w="492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4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30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2029</w:t>
            </w:r>
          </w:p>
        </w:tc>
        <w:tc>
          <w:tcPr>
            <w:tcW w:w="4920" w:type="dxa"/>
            <w:vAlign w:val="bottom"/>
            <w:tcBorders>
              <w:bottom w:val="single" w:sz="8" w:color="BFE4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Total lease payments</w:t>
            </w:r>
          </w:p>
        </w:tc>
        <w:tc>
          <w:tcPr>
            <w:tcW w:w="180" w:type="dxa"/>
            <w:vAlign w:val="bottom"/>
            <w:shd w:val="clear" w:color="auto" w:fill="BFE4FF"/>
          </w:tcPr>
          <w:p>
            <w:pPr>
              <w:spacing w:after="0"/>
              <w:rPr>
                <w:sz w:val="18"/>
                <w:szCs w:val="18"/>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4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501</w:t>
            </w:r>
          </w:p>
        </w:tc>
      </w:tr>
      <w:tr>
        <w:trPr>
          <w:trHeight w:val="215"/>
        </w:trPr>
        <w:tc>
          <w:tcPr>
            <w:tcW w:w="7980" w:type="dxa"/>
            <w:vAlign w:val="bottom"/>
            <w:tcBorders>
              <w:bottom w:val="single" w:sz="8" w:color="BFE4FF"/>
            </w:tcBorders>
            <w:gridSpan w:val="2"/>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798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Present value of lease liabilities</w:t>
            </w: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476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enters into non-cancelable purchase orders in the ordinary course of business for inventory and capital equipment. Commitments for inventory are generally short-term in nature. Capital equipment commitments are generally fulfilled within one year, with certain long lead time items extending beyond one year. As of March 31, 2026, the Company had open equipment purchase orders of $0.4 million which will be fulfilled later than one year from the reporting date.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Mezzanine and Stockholders' Equity</w:t>
      </w:r>
    </w:p>
    <w:p>
      <w:pPr>
        <w:spacing w:after="0" w:line="24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the number of shares of Common Stock and Preferred Stock authorized and outstanding as of the dates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b w:val="1"/>
                <w:bCs w:val="1"/>
                <w:color w:val="auto"/>
              </w:rPr>
              <w:t>Shares Outstanding</w:t>
            </w:r>
          </w:p>
        </w:tc>
        <w:tc>
          <w:tcPr>
            <w:tcW w:w="0" w:type="dxa"/>
            <w:vAlign w:val="bottom"/>
          </w:tcPr>
          <w:p>
            <w:pPr>
              <w:spacing w:after="0"/>
              <w:rPr>
                <w:sz w:val="1"/>
                <w:szCs w:val="1"/>
                <w:color w:val="auto"/>
              </w:rPr>
            </w:pPr>
          </w:p>
        </w:tc>
      </w:tr>
      <w:tr>
        <w:trPr>
          <w:trHeight w:val="147"/>
        </w:trPr>
        <w:tc>
          <w:tcPr>
            <w:tcW w:w="5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of Stock</w:t>
            </w:r>
          </w:p>
        </w:tc>
        <w:tc>
          <w:tcPr>
            <w:tcW w:w="14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Authorized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Par Value</w:t>
            </w:r>
          </w:p>
        </w:tc>
        <w:tc>
          <w:tcPr>
            <w:tcW w:w="1540" w:type="dxa"/>
            <w:vAlign w:val="bottom"/>
            <w:gridSpan w:val="2"/>
          </w:tcPr>
          <w:p>
            <w:pPr>
              <w:ind w:left="380"/>
              <w:spacing w:after="0" w:line="147" w:lineRule="exact"/>
              <w:rPr>
                <w:sz w:val="20"/>
                <w:szCs w:val="20"/>
                <w:color w:val="auto"/>
              </w:rPr>
            </w:pPr>
            <w:r>
              <w:rPr>
                <w:rFonts w:ascii="Arial" w:cs="Arial" w:eastAsia="Arial" w:hAnsi="Arial"/>
                <w:sz w:val="14"/>
                <w:szCs w:val="14"/>
                <w:b w:val="1"/>
                <w:bCs w:val="1"/>
                <w:color w:val="auto"/>
              </w:rPr>
              <w:t>March 31,</w:t>
            </w:r>
          </w:p>
        </w:tc>
        <w:tc>
          <w:tcPr>
            <w:tcW w:w="1440" w:type="dxa"/>
            <w:vAlign w:val="bottom"/>
          </w:tcPr>
          <w:p>
            <w:pPr>
              <w:jc w:val="right"/>
              <w:ind w:right="182"/>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780" w:type="dxa"/>
            <w:vAlign w:val="bottom"/>
            <w:gridSpan w:val="3"/>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40" w:type="dxa"/>
            <w:vAlign w:val="bottom"/>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440" w:type="dxa"/>
            <w:vAlign w:val="bottom"/>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3"/>
        </w:trPr>
        <w:tc>
          <w:tcPr>
            <w:tcW w:w="960" w:type="dxa"/>
            <w:vAlign w:val="bottom"/>
            <w:tcBorders>
              <w:top w:val="single" w:sz="8" w:color="auto"/>
            </w:tcBorders>
          </w:tcPr>
          <w:p>
            <w:pPr>
              <w:spacing w:after="0"/>
              <w:rPr>
                <w:sz w:val="14"/>
                <w:szCs w:val="14"/>
                <w:color w:val="auto"/>
              </w:rPr>
            </w:pPr>
          </w:p>
        </w:tc>
        <w:tc>
          <w:tcPr>
            <w:tcW w:w="4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3"/>
          </w:tcPr>
          <w:p>
            <w:pPr>
              <w:ind w:left="380"/>
              <w:spacing w:after="0"/>
              <w:rPr>
                <w:sz w:val="20"/>
                <w:szCs w:val="20"/>
                <w:color w:val="auto"/>
              </w:rPr>
            </w:pPr>
            <w:r>
              <w:rPr>
                <w:rFonts w:ascii="Arial" w:cs="Arial" w:eastAsia="Arial" w:hAnsi="Arial"/>
                <w:sz w:val="13"/>
                <w:szCs w:val="13"/>
                <w:i w:val="1"/>
                <w:iCs w:val="1"/>
                <w:color w:val="auto"/>
              </w:rPr>
              <w:t>(In thousands, except par value)</w:t>
            </w: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6"/>
                <w:szCs w:val="16"/>
                <w:color w:val="auto"/>
              </w:rPr>
              <w:t>Common stock</w:t>
            </w:r>
          </w:p>
        </w:tc>
        <w:tc>
          <w:tcPr>
            <w:tcW w:w="1440" w:type="dxa"/>
            <w:vAlign w:val="bottom"/>
            <w:tcBorders>
              <w:bottom w:val="single" w:sz="8" w:color="BFE4FF"/>
            </w:tcBorders>
            <w:shd w:val="clear" w:color="auto" w:fill="BFE4FF"/>
          </w:tcPr>
          <w:p>
            <w:pPr>
              <w:jc w:val="right"/>
              <w:ind w:right="1"/>
              <w:spacing w:after="0"/>
              <w:rPr>
                <w:sz w:val="20"/>
                <w:szCs w:val="20"/>
                <w:color w:val="auto"/>
              </w:rPr>
            </w:pPr>
            <w:r>
              <w:rPr>
                <w:rFonts w:ascii="Arial" w:cs="Arial" w:eastAsia="Arial" w:hAnsi="Arial"/>
                <w:sz w:val="16"/>
                <w:szCs w:val="16"/>
                <w:color w:val="auto"/>
              </w:rPr>
              <w:t>750,000</w:t>
            </w:r>
          </w:p>
        </w:tc>
        <w:tc>
          <w:tcPr>
            <w:tcW w:w="10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rPr>
              <w:t>$0.0001</w:t>
            </w:r>
          </w:p>
        </w:tc>
        <w:tc>
          <w:tcPr>
            <w:tcW w:w="1440" w:type="dxa"/>
            <w:vAlign w:val="bottom"/>
            <w:tcBorders>
              <w:bottom w:val="single" w:sz="8" w:color="auto"/>
            </w:tcBorders>
            <w:shd w:val="clear" w:color="auto" w:fill="BFE4FF"/>
          </w:tcPr>
          <w:p>
            <w:pPr>
              <w:jc w:val="right"/>
              <w:ind w:right="3"/>
              <w:spacing w:after="0"/>
              <w:rPr>
                <w:sz w:val="20"/>
                <w:szCs w:val="20"/>
                <w:color w:val="auto"/>
              </w:rPr>
            </w:pPr>
            <w:r>
              <w:rPr>
                <w:rFonts w:ascii="Arial" w:cs="Arial" w:eastAsia="Arial" w:hAnsi="Arial"/>
                <w:sz w:val="16"/>
                <w:szCs w:val="16"/>
                <w:color w:val="auto"/>
              </w:rPr>
              <w:t>217,976</w:t>
            </w:r>
          </w:p>
        </w:tc>
        <w:tc>
          <w:tcPr>
            <w:tcW w:w="10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148,055</w:t>
            </w:r>
          </w:p>
        </w:tc>
        <w:tc>
          <w:tcPr>
            <w:tcW w:w="0" w:type="dxa"/>
            <w:vAlign w:val="bottom"/>
          </w:tcPr>
          <w:p>
            <w:pPr>
              <w:spacing w:after="0"/>
              <w:rPr>
                <w:sz w:val="1"/>
                <w:szCs w:val="1"/>
                <w:color w:val="auto"/>
              </w:rPr>
            </w:pPr>
          </w:p>
        </w:tc>
      </w:tr>
      <w:tr>
        <w:trPr>
          <w:trHeight w:val="189"/>
        </w:trPr>
        <w:tc>
          <w:tcPr>
            <w:tcW w:w="5780" w:type="dxa"/>
            <w:vAlign w:val="bottom"/>
            <w:gridSpan w:val="3"/>
          </w:tcPr>
          <w:p>
            <w:pPr>
              <w:ind w:left="20"/>
              <w:spacing w:after="0"/>
              <w:rPr>
                <w:sz w:val="20"/>
                <w:szCs w:val="20"/>
                <w:color w:val="auto"/>
              </w:rPr>
            </w:pPr>
            <w:r>
              <w:rPr>
                <w:rFonts w:ascii="Arial" w:cs="Arial" w:eastAsia="Arial" w:hAnsi="Arial"/>
                <w:sz w:val="16"/>
                <w:szCs w:val="16"/>
                <w:color w:val="auto"/>
              </w:rPr>
              <w:t>Preferred stock</w:t>
            </w:r>
          </w:p>
        </w:tc>
        <w:tc>
          <w:tcPr>
            <w:tcW w:w="1440" w:type="dxa"/>
            <w:vAlign w:val="bottom"/>
            <w:tcBorders>
              <w:top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80" w:type="dxa"/>
            <w:vAlign w:val="bottom"/>
            <w:gridSpan w:val="3"/>
            <w:shd w:val="clear" w:color="auto" w:fill="BFE4FF"/>
          </w:tcPr>
          <w:p>
            <w:pPr>
              <w:ind w:left="140"/>
              <w:spacing w:after="0" w:line="217" w:lineRule="exact"/>
              <w:rPr>
                <w:sz w:val="20"/>
                <w:szCs w:val="20"/>
                <w:color w:val="auto"/>
              </w:rPr>
            </w:pPr>
            <w:r>
              <w:rPr>
                <w:rFonts w:ascii="Arial" w:cs="Arial" w:eastAsia="Arial" w:hAnsi="Arial"/>
                <w:sz w:val="16"/>
                <w:szCs w:val="16"/>
                <w:color w:val="auto"/>
              </w:rPr>
              <w:t xml:space="preserve">12% Series A Cumulative Convertible Preferred Stock </w:t>
            </w:r>
            <w:r>
              <w:rPr>
                <w:rFonts w:ascii="Arial" w:cs="Arial" w:eastAsia="Arial" w:hAnsi="Arial"/>
                <w:sz w:val="21"/>
                <w:szCs w:val="21"/>
                <w:color w:val="auto"/>
                <w:vertAlign w:val="superscript"/>
              </w:rPr>
              <w:t>(1)</w:t>
            </w:r>
          </w:p>
        </w:tc>
        <w:tc>
          <w:tcPr>
            <w:tcW w:w="144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15,000</w:t>
            </w:r>
          </w:p>
        </w:tc>
        <w:tc>
          <w:tcPr>
            <w:tcW w:w="104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$0.0001</w:t>
            </w:r>
          </w:p>
        </w:tc>
        <w:tc>
          <w:tcPr>
            <w:tcW w:w="1440" w:type="dxa"/>
            <w:vAlign w:val="bottom"/>
            <w:shd w:val="clear" w:color="auto" w:fill="BFE4FF"/>
          </w:tcPr>
          <w:p>
            <w:pPr>
              <w:jc w:val="right"/>
              <w:ind w:right="3"/>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BFE4FF"/>
          </w:tcPr>
          <w:p>
            <w:pPr>
              <w:spacing w:after="0"/>
              <w:rPr>
                <w:sz w:val="18"/>
                <w:szCs w:val="18"/>
                <w:color w:val="auto"/>
              </w:rPr>
            </w:pPr>
          </w:p>
        </w:tc>
        <w:tc>
          <w:tcPr>
            <w:tcW w:w="144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15"/>
        </w:trPr>
        <w:tc>
          <w:tcPr>
            <w:tcW w:w="5780" w:type="dxa"/>
            <w:vAlign w:val="bottom"/>
            <w:gridSpan w:val="3"/>
          </w:tcPr>
          <w:p>
            <w:pPr>
              <w:ind w:left="140"/>
              <w:spacing w:after="0"/>
              <w:rPr>
                <w:sz w:val="20"/>
                <w:szCs w:val="20"/>
                <w:color w:val="auto"/>
              </w:rPr>
            </w:pPr>
            <w:r>
              <w:rPr>
                <w:rFonts w:ascii="Arial" w:cs="Arial" w:eastAsia="Arial" w:hAnsi="Arial"/>
                <w:sz w:val="16"/>
                <w:szCs w:val="16"/>
                <w:color w:val="auto"/>
              </w:rPr>
              <w:t>Undesignated preferred stock</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35,000</w:t>
            </w:r>
          </w:p>
        </w:tc>
        <w:tc>
          <w:tcPr>
            <w:tcW w:w="1040" w:type="dxa"/>
            <w:vAlign w:val="bottom"/>
          </w:tcPr>
          <w:p>
            <w:pPr>
              <w:jc w:val="center"/>
              <w:spacing w:after="0"/>
              <w:rPr>
                <w:sz w:val="20"/>
                <w:szCs w:val="20"/>
                <w:color w:val="auto"/>
              </w:rPr>
            </w:pPr>
            <w:r>
              <w:rPr>
                <w:rFonts w:ascii="Arial" w:cs="Arial" w:eastAsia="Arial" w:hAnsi="Arial"/>
                <w:sz w:val="16"/>
                <w:szCs w:val="16"/>
                <w:color w:val="auto"/>
              </w:rPr>
              <w:t>$0.0001</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780" w:type="dxa"/>
            <w:vAlign w:val="bottom"/>
            <w:tcBorders>
              <w:top w:val="single" w:sz="8" w:color="BFE4FF"/>
              <w:bottom w:val="single" w:sz="8" w:color="BFE4FF"/>
            </w:tcBorders>
            <w:gridSpan w:val="3"/>
            <w:shd w:val="clear" w:color="auto" w:fill="BFE4FF"/>
          </w:tcPr>
          <w:p>
            <w:pPr>
              <w:ind w:left="240"/>
              <w:spacing w:after="0"/>
              <w:rPr>
                <w:sz w:val="20"/>
                <w:szCs w:val="20"/>
                <w:color w:val="auto"/>
              </w:rPr>
            </w:pPr>
            <w:r>
              <w:rPr>
                <w:rFonts w:ascii="Arial" w:cs="Arial" w:eastAsia="Arial" w:hAnsi="Arial"/>
                <w:sz w:val="16"/>
                <w:szCs w:val="16"/>
                <w:color w:val="auto"/>
              </w:rPr>
              <w:t>Total preferred stock</w:t>
            </w:r>
          </w:p>
        </w:tc>
        <w:tc>
          <w:tcPr>
            <w:tcW w:w="1440" w:type="dxa"/>
            <w:vAlign w:val="bottom"/>
            <w:tcBorders>
              <w:top w:val="single" w:sz="8" w:color="auto"/>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50,000</w:t>
            </w:r>
          </w:p>
        </w:tc>
        <w:tc>
          <w:tcPr>
            <w:tcW w:w="1040" w:type="dxa"/>
            <w:vAlign w:val="bottom"/>
            <w:tcBorders>
              <w:top w:val="single" w:sz="8" w:color="BFE4FF"/>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rPr>
              <w:t>$0.0001</w:t>
            </w:r>
          </w:p>
        </w:tc>
        <w:tc>
          <w:tcPr>
            <w:tcW w:w="1440" w:type="dxa"/>
            <w:vAlign w:val="bottom"/>
            <w:tcBorders>
              <w:top w:val="single" w:sz="8" w:color="auto"/>
              <w:bottom w:val="single" w:sz="8" w:color="auto"/>
            </w:tcBorders>
            <w:shd w:val="clear" w:color="auto" w:fill="BFE4FF"/>
          </w:tcPr>
          <w:p>
            <w:pPr>
              <w:jc w:val="right"/>
              <w:ind w:right="3"/>
              <w:spacing w:after="0"/>
              <w:rPr>
                <w:sz w:val="20"/>
                <w:szCs w:val="20"/>
                <w:color w:val="auto"/>
              </w:rPr>
            </w:pPr>
            <w:r>
              <w:rPr>
                <w:rFonts w:ascii="Arial" w:cs="Arial" w:eastAsia="Arial" w:hAnsi="Arial"/>
                <w:sz w:val="16"/>
                <w:szCs w:val="16"/>
                <w:color w:val="auto"/>
              </w:rPr>
              <w:t>1,224</w:t>
            </w:r>
          </w:p>
        </w:tc>
        <w:tc>
          <w:tcPr>
            <w:tcW w:w="100" w:type="dxa"/>
            <w:vAlign w:val="bottom"/>
            <w:tcBorders>
              <w:top w:val="single" w:sz="8" w:color="BFE4FF"/>
              <w:bottom w:val="single" w:sz="8" w:color="BFE4FF"/>
            </w:tcBorders>
            <w:shd w:val="clear" w:color="auto" w:fill="BFE4FF"/>
          </w:tcPr>
          <w:p>
            <w:pPr>
              <w:spacing w:after="0"/>
              <w:rPr>
                <w:sz w:val="17"/>
                <w:szCs w:val="17"/>
                <w:color w:val="auto"/>
              </w:rPr>
            </w:pPr>
          </w:p>
        </w:tc>
        <w:tc>
          <w:tcPr>
            <w:tcW w:w="1440" w:type="dxa"/>
            <w:vAlign w:val="bottom"/>
            <w:tcBorders>
              <w:top w:val="single" w:sz="8" w:color="auto"/>
              <w:bottom w:val="single" w:sz="8" w:color="auto"/>
            </w:tcBorders>
            <w:shd w:val="clear" w:color="auto" w:fill="BFE4FF"/>
          </w:tcPr>
          <w:p>
            <w:pPr>
              <w:jc w:val="right"/>
              <w:ind w:right="2"/>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6"/>
                <w:szCs w:val="16"/>
                <w:color w:val="auto"/>
              </w:rPr>
              <w:t>Total authorized</w:t>
            </w:r>
          </w:p>
        </w:tc>
        <w:tc>
          <w:tcPr>
            <w:tcW w:w="144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800,000</w:t>
            </w:r>
          </w:p>
        </w:tc>
        <w:tc>
          <w:tcPr>
            <w:tcW w:w="1040" w:type="dxa"/>
            <w:vAlign w:val="bottom"/>
            <w:tcBorders>
              <w:bottom w:val="single" w:sz="8" w:color="BFE4FF"/>
            </w:tcBorders>
            <w:shd w:val="clear" w:color="auto" w:fill="BFE4FF"/>
          </w:tcPr>
          <w:p>
            <w:pPr>
              <w:spacing w:after="0"/>
              <w:rPr>
                <w:sz w:val="19"/>
                <w:szCs w:val="19"/>
                <w:color w:val="auto"/>
              </w:rPr>
            </w:pPr>
          </w:p>
        </w:tc>
        <w:tc>
          <w:tcPr>
            <w:tcW w:w="144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1440" w:type="dxa"/>
            <w:vAlign w:val="bottom"/>
            <w:tcBorders>
              <w:bottom w:val="single" w:sz="8" w:color="BFE4FF"/>
            </w:tcBorders>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liquidation value was $9.6 million and $8.9 million on March 31, 2026 and December 31, 2025,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$1.50 Billion Private Investment In Public Equity (“PIPE”)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27, 2026, the Company closed a $1.50 billion private placement in the form of a PIPE (the “$1.50B PIPE”) with multiple investors. The Company issued 69.8 million shares of common stock on January 28, 2026 for gross proceeds of $1.50 billion and received net proceeds of $1.45 billion after deducting financing costs. The net proceeds are 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and the 69.8 million shares issued are reflected in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on the accompanying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426085</wp:posOffset>
            </wp:positionV>
            <wp:extent cx="7046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Equity-Based Compensation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following table presents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Incentive Plan</w:t>
            </w:r>
          </w:p>
        </w:tc>
        <w:tc>
          <w:tcPr>
            <w:tcW w:w="340" w:type="dxa"/>
            <w:vAlign w:val="bottom"/>
          </w:tcPr>
          <w:p>
            <w:pPr>
              <w:spacing w:after="0"/>
              <w:rPr>
                <w:sz w:val="17"/>
                <w:szCs w:val="17"/>
                <w:color w:val="auto"/>
              </w:rPr>
            </w:pPr>
          </w:p>
        </w:tc>
        <w:tc>
          <w:tcPr>
            <w:tcW w:w="1240" w:type="dxa"/>
            <w:vAlign w:val="bottom"/>
          </w:tcPr>
          <w:p>
            <w:pPr>
              <w:jc w:val="right"/>
              <w:ind w:right="54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165"/>
        </w:trPr>
        <w:tc>
          <w:tcPr>
            <w:tcW w:w="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3"/>
          </w:tcPr>
          <w:p>
            <w:pPr>
              <w:jc w:val="right"/>
              <w:ind w:right="59"/>
              <w:spacing w:after="0"/>
              <w:rPr>
                <w:sz w:val="20"/>
                <w:szCs w:val="20"/>
                <w:color w:val="auto"/>
              </w:rPr>
            </w:pPr>
            <w:r>
              <w:rPr>
                <w:rFonts w:ascii="Arial" w:cs="Arial" w:eastAsia="Arial" w:hAnsi="Arial"/>
                <w:sz w:val="13"/>
                <w:szCs w:val="13"/>
                <w:color w:val="auto"/>
              </w:rPr>
              <w:t>(In thousands)</w:t>
            </w:r>
          </w:p>
        </w:tc>
        <w:tc>
          <w:tcPr>
            <w:tcW w:w="1080" w:type="dxa"/>
            <w:vAlign w:val="bottom"/>
            <w:tcBorders>
              <w:top w:val="single" w:sz="8" w:color="auto"/>
            </w:tcBorders>
          </w:tcPr>
          <w:p>
            <w:pPr>
              <w:spacing w:after="0"/>
              <w:rPr>
                <w:sz w:val="14"/>
                <w:szCs w:val="14"/>
                <w:color w:val="auto"/>
              </w:rPr>
            </w:pPr>
          </w:p>
        </w:tc>
      </w:tr>
      <w:tr>
        <w:trPr>
          <w:trHeight w:val="221"/>
        </w:trPr>
        <w:tc>
          <w:tcPr>
            <w:tcW w:w="4160" w:type="dxa"/>
            <w:vAlign w:val="bottom"/>
            <w:gridSpan w:val="2"/>
            <w:shd w:val="clear" w:color="auto" w:fill="BFE4FF"/>
          </w:tcPr>
          <w:p>
            <w:pPr>
              <w:ind w:left="20"/>
              <w:spacing w:after="0" w:line="221" w:lineRule="exact"/>
              <w:rPr>
                <w:sz w:val="20"/>
                <w:szCs w:val="20"/>
                <w:color w:val="auto"/>
              </w:rPr>
            </w:pPr>
            <w:r>
              <w:rPr>
                <w:rFonts w:ascii="Arial" w:cs="Arial" w:eastAsia="Arial" w:hAnsi="Arial"/>
                <w:sz w:val="16"/>
                <w:szCs w:val="16"/>
                <w:color w:val="auto"/>
              </w:rPr>
              <w:t xml:space="preserve">Restricted stock units </w:t>
            </w:r>
            <w:r>
              <w:rPr>
                <w:rFonts w:ascii="Arial" w:cs="Arial" w:eastAsia="Arial" w:hAnsi="Arial"/>
                <w:sz w:val="21"/>
                <w:szCs w:val="21"/>
                <w:color w:val="auto"/>
                <w:vertAlign w:val="superscript"/>
              </w:rPr>
              <w:t>(1)</w:t>
            </w:r>
          </w:p>
        </w:tc>
        <w:tc>
          <w:tcPr>
            <w:tcW w:w="38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2024 Incentive Plan</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4,875</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Performance restricted stock units</w:t>
            </w:r>
          </w:p>
        </w:tc>
        <w:tc>
          <w:tcPr>
            <w:tcW w:w="3820" w:type="dxa"/>
            <w:vAlign w:val="bottom"/>
            <w:gridSpan w:val="2"/>
          </w:tcPr>
          <w:p>
            <w:pPr>
              <w:ind w:left="20"/>
              <w:spacing w:after="0"/>
              <w:rPr>
                <w:sz w:val="20"/>
                <w:szCs w:val="20"/>
                <w:color w:val="auto"/>
              </w:rPr>
            </w:pPr>
            <w:r>
              <w:rPr>
                <w:rFonts w:ascii="Arial" w:cs="Arial" w:eastAsia="Arial" w:hAnsi="Arial"/>
                <w:sz w:val="16"/>
                <w:szCs w:val="16"/>
                <w:color w:val="auto"/>
              </w:rPr>
              <w:t>2024 Incentive Plan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Incentive units</w:t>
            </w:r>
          </w:p>
        </w:tc>
        <w:tc>
          <w:tcPr>
            <w:tcW w:w="382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Legacy Incentive Plan</w:t>
            </w:r>
          </w:p>
        </w:tc>
        <w:tc>
          <w:tcPr>
            <w:tcW w:w="340" w:type="dxa"/>
            <w:vAlign w:val="bottom"/>
            <w:shd w:val="clear" w:color="auto" w:fill="BFE4FF"/>
          </w:tcPr>
          <w:p>
            <w:pPr>
              <w:spacing w:after="0"/>
              <w:rPr>
                <w:sz w:val="18"/>
                <w:szCs w:val="18"/>
                <w:color w:val="auto"/>
              </w:rPr>
            </w:pPr>
          </w:p>
        </w:tc>
        <w:tc>
          <w:tcPr>
            <w:tcW w:w="134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441</w:t>
            </w:r>
          </w:p>
        </w:tc>
      </w:tr>
      <w:tr>
        <w:trPr>
          <w:trHeight w:val="216"/>
        </w:trPr>
        <w:tc>
          <w:tcPr>
            <w:tcW w:w="41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Class A units </w:t>
            </w:r>
            <w:r>
              <w:rPr>
                <w:rFonts w:ascii="Arial" w:cs="Arial" w:eastAsia="Arial" w:hAnsi="Arial"/>
                <w:sz w:val="21"/>
                <w:szCs w:val="21"/>
                <w:color w:val="auto"/>
                <w:vertAlign w:val="superscript"/>
              </w:rPr>
              <w:t>(1)</w:t>
            </w:r>
          </w:p>
        </w:tc>
        <w:tc>
          <w:tcPr>
            <w:tcW w:w="3820" w:type="dxa"/>
            <w:vAlign w:val="bottom"/>
            <w:gridSpan w:val="2"/>
          </w:tcPr>
          <w:p>
            <w:pPr>
              <w:ind w:left="20"/>
              <w:spacing w:after="0"/>
              <w:rPr>
                <w:sz w:val="20"/>
                <w:szCs w:val="20"/>
                <w:color w:val="auto"/>
              </w:rPr>
            </w:pPr>
            <w:r>
              <w:rPr>
                <w:rFonts w:ascii="Arial" w:cs="Arial" w:eastAsia="Arial" w:hAnsi="Arial"/>
                <w:sz w:val="16"/>
                <w:szCs w:val="16"/>
                <w:color w:val="auto"/>
              </w:rPr>
              <w:t>Legacy Incentive Plan</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841</w:t>
            </w:r>
          </w:p>
        </w:tc>
      </w:tr>
      <w:tr>
        <w:trPr>
          <w:trHeight w:val="217"/>
        </w:trPr>
        <w:tc>
          <w:tcPr>
            <w:tcW w:w="4160" w:type="dxa"/>
            <w:vAlign w:val="bottom"/>
            <w:tcBorders>
              <w:top w:val="single" w:sz="8" w:color="BFE4FF"/>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Total</w:t>
            </w:r>
          </w:p>
        </w:tc>
        <w:tc>
          <w:tcPr>
            <w:tcW w:w="3740" w:type="dxa"/>
            <w:vAlign w:val="bottom"/>
            <w:tcBorders>
              <w:top w:val="single" w:sz="8" w:color="BFE4FF"/>
              <w:bottom w:val="single" w:sz="8" w:color="BFE4FF"/>
            </w:tcBorders>
            <w:shd w:val="clear" w:color="auto" w:fill="BFE4FF"/>
          </w:tcPr>
          <w:p>
            <w:pPr>
              <w:spacing w:after="0"/>
              <w:rPr>
                <w:sz w:val="18"/>
                <w:szCs w:val="18"/>
                <w:color w:val="auto"/>
              </w:rPr>
            </w:pP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34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500" w:type="dxa"/>
            <w:vAlign w:val="bottom"/>
            <w:tcBorders>
              <w:top w:val="single" w:sz="8" w:color="auto"/>
              <w:bottom w:val="single" w:sz="8" w:color="auto"/>
            </w:tcBorders>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BFE4FF"/>
          </w:tcPr>
          <w:p>
            <w:pPr>
              <w:jc w:val="right"/>
              <w:ind w:right="1"/>
              <w:spacing w:after="0"/>
              <w:rPr>
                <w:sz w:val="20"/>
                <w:szCs w:val="20"/>
                <w:color w:val="auto"/>
              </w:rPr>
            </w:pPr>
            <w:r>
              <w:rPr>
                <w:rFonts w:ascii="Arial" w:cs="Arial" w:eastAsia="Arial" w:hAnsi="Arial"/>
                <w:sz w:val="16"/>
                <w:szCs w:val="16"/>
                <w:color w:val="auto"/>
              </w:rPr>
              <w:t>1,282</w:t>
            </w:r>
          </w:p>
        </w:tc>
      </w:tr>
      <w:tr>
        <w:trPr>
          <w:trHeight w:val="94"/>
        </w:trPr>
        <w:tc>
          <w:tcPr>
            <w:tcW w:w="96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121" w:lineRule="exact"/>
        <w:rPr>
          <w:sz w:val="20"/>
          <w:szCs w:val="20"/>
          <w:color w:val="auto"/>
        </w:rPr>
      </w:pPr>
    </w:p>
    <w:p>
      <w:pPr>
        <w:jc w:val="both"/>
        <w:ind w:left="340" w:hanging="332"/>
        <w:spacing w:after="0" w:line="238" w:lineRule="auto"/>
        <w:tabs>
          <w:tab w:leader="none" w:pos="36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 the three months ended March 31, 2025, USARE LLC recorded equity-based compensation for issuance of its Class A Units to certain consultants pursuant to existing bonus agreements. In the three months ended March 31, 2025, USARE LLC recorded the forfeiture of equity-based compensation of the Company’s former CEO.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Stock-Based Compensation Costs</w:t>
      </w:r>
    </w:p>
    <w:p>
      <w:pPr>
        <w:spacing w:after="0" w:line="212"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costs related to unvested restricted stock units and performance restricted stock units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remaining requisite service period of each award. The following table presents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costs and weighted</w:t>
      </w:r>
      <w:r>
        <w:rPr>
          <w:rFonts w:ascii="MS PGothic" w:cs="MS PGothic" w:eastAsia="MS PGothic" w:hAnsi="MS PGothic"/>
          <w:sz w:val="18"/>
          <w:szCs w:val="18"/>
          <w:color w:val="auto"/>
        </w:rPr>
        <w:t>‑</w:t>
      </w:r>
      <w:r>
        <w:rPr>
          <w:rFonts w:ascii="Arial" w:cs="Arial" w:eastAsia="Arial" w:hAnsi="Arial"/>
          <w:sz w:val="18"/>
          <w:szCs w:val="18"/>
          <w:color w:val="auto"/>
        </w:rPr>
        <w:t>average service periods as of March 31, 2026.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68"/>
              <w:spacing w:after="0"/>
              <w:rPr>
                <w:sz w:val="20"/>
                <w:szCs w:val="20"/>
                <w:color w:val="auto"/>
              </w:rPr>
            </w:pPr>
            <w:r>
              <w:rPr>
                <w:rFonts w:ascii="Arial" w:cs="Arial" w:eastAsia="Arial" w:hAnsi="Arial"/>
                <w:sz w:val="13"/>
                <w:szCs w:val="13"/>
                <w:b w:val="1"/>
                <w:bCs w:val="1"/>
                <w:color w:val="auto"/>
                <w:w w:val="97"/>
              </w:rPr>
              <w:t>Unrecognized</w:t>
            </w: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Compensation Costs</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Service Period</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68"/>
              <w:spacing w:after="0"/>
              <w:rPr>
                <w:sz w:val="20"/>
                <w:szCs w:val="20"/>
                <w:color w:val="auto"/>
              </w:rPr>
            </w:pPr>
            <w:r>
              <w:rPr>
                <w:rFonts w:ascii="Arial" w:cs="Arial" w:eastAsia="Arial" w:hAnsi="Arial"/>
                <w:sz w:val="13"/>
                <w:szCs w:val="13"/>
                <w:i w:val="1"/>
                <w:iCs w:val="1"/>
                <w:color w:val="auto"/>
                <w:w w:val="96"/>
              </w:rPr>
              <w:t>(In thousands)</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i w:val="1"/>
                <w:iCs w:val="1"/>
                <w:color w:val="auto"/>
                <w:w w:val="94"/>
              </w:rPr>
              <w:t>(In years)</w:t>
            </w:r>
          </w:p>
        </w:tc>
        <w:tc>
          <w:tcPr>
            <w:tcW w:w="0" w:type="dxa"/>
            <w:vAlign w:val="bottom"/>
          </w:tcPr>
          <w:p>
            <w:pPr>
              <w:spacing w:after="0"/>
              <w:rPr>
                <w:sz w:val="1"/>
                <w:szCs w:val="1"/>
                <w:color w:val="auto"/>
              </w:rPr>
            </w:pPr>
          </w:p>
        </w:tc>
      </w:tr>
      <w:tr>
        <w:trPr>
          <w:trHeight w:val="222"/>
        </w:trPr>
        <w:tc>
          <w:tcPr>
            <w:tcW w:w="79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Restricted stock units</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BFE4FF"/>
          </w:tcPr>
          <w:p>
            <w:pPr>
              <w:jc w:val="right"/>
              <w:ind w:right="8"/>
              <w:spacing w:after="0"/>
              <w:rPr>
                <w:sz w:val="20"/>
                <w:szCs w:val="20"/>
                <w:color w:val="auto"/>
              </w:rPr>
            </w:pPr>
            <w:r>
              <w:rPr>
                <w:rFonts w:ascii="Arial" w:cs="Arial" w:eastAsia="Arial" w:hAnsi="Arial"/>
                <w:sz w:val="16"/>
                <w:szCs w:val="16"/>
                <w:color w:val="auto"/>
              </w:rPr>
              <w:t>29,687</w:t>
            </w:r>
          </w:p>
        </w:tc>
        <w:tc>
          <w:tcPr>
            <w:tcW w:w="1680" w:type="dxa"/>
            <w:vAlign w:val="bottom"/>
            <w:gridSpan w:val="2"/>
            <w:shd w:val="clear" w:color="auto" w:fill="BFE4FF"/>
          </w:tcPr>
          <w:p>
            <w:pPr>
              <w:jc w:val="right"/>
              <w:ind w:right="557"/>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42"/>
        </w:trPr>
        <w:tc>
          <w:tcPr>
            <w:tcW w:w="7980" w:type="dxa"/>
            <w:vAlign w:val="bottom"/>
            <w:gridSpan w:val="2"/>
            <w:vMerge w:val="restart"/>
          </w:tcPr>
          <w:p>
            <w:pPr>
              <w:ind w:left="20"/>
              <w:spacing w:after="0"/>
              <w:rPr>
                <w:sz w:val="20"/>
                <w:szCs w:val="20"/>
                <w:color w:val="auto"/>
              </w:rPr>
            </w:pPr>
            <w:r>
              <w:rPr>
                <w:rFonts w:ascii="Arial" w:cs="Arial" w:eastAsia="Arial" w:hAnsi="Arial"/>
                <w:sz w:val="16"/>
                <w:szCs w:val="16"/>
                <w:color w:val="auto"/>
              </w:rPr>
              <w:t>Performance restricted stock units</w:t>
            </w:r>
          </w:p>
        </w:tc>
        <w:tc>
          <w:tcPr>
            <w:tcW w:w="120" w:type="dxa"/>
            <w:vAlign w:val="bottom"/>
          </w:tcPr>
          <w:p>
            <w:pPr>
              <w:spacing w:after="0"/>
              <w:rPr>
                <w:sz w:val="12"/>
                <w:szCs w:val="12"/>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6"/>
                <w:szCs w:val="16"/>
                <w:color w:val="auto"/>
              </w:rPr>
              <w:t>365</w:t>
            </w:r>
          </w:p>
        </w:tc>
        <w:tc>
          <w:tcPr>
            <w:tcW w:w="1680" w:type="dxa"/>
            <w:vAlign w:val="bottom"/>
            <w:gridSpan w:val="2"/>
          </w:tcPr>
          <w:p>
            <w:pPr>
              <w:jc w:val="right"/>
              <w:ind w:right="65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73"/>
        </w:trPr>
        <w:tc>
          <w:tcPr>
            <w:tcW w:w="7980" w:type="dxa"/>
            <w:vAlign w:val="bottom"/>
            <w:tcBorders>
              <w:bottom w:val="single" w:sz="8" w:color="BFE4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560" w:type="dxa"/>
            <w:vAlign w:val="bottom"/>
            <w:tcBorders>
              <w:bottom w:val="single" w:sz="8" w:color="BFE4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79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Total unrecognized compensation costs</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6"/>
                <w:szCs w:val="16"/>
                <w:color w:val="auto"/>
              </w:rPr>
              <w:t>30,052</w:t>
            </w:r>
          </w:p>
        </w:tc>
        <w:tc>
          <w:tcPr>
            <w:tcW w:w="120" w:type="dxa"/>
            <w:vAlign w:val="bottom"/>
            <w:tcBorders>
              <w:bottom w:val="single" w:sz="8" w:color="BFE4FF"/>
            </w:tcBorders>
            <w:shd w:val="clear" w:color="auto" w:fill="BFE4FF"/>
          </w:tcPr>
          <w:p>
            <w:pPr>
              <w:spacing w:after="0"/>
              <w:rPr>
                <w:sz w:val="18"/>
                <w:szCs w:val="18"/>
                <w:color w:val="auto"/>
              </w:rPr>
            </w:pPr>
          </w:p>
        </w:tc>
        <w:tc>
          <w:tcPr>
            <w:tcW w:w="156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Performance restricted stock units vest upon achievement of specified performance conditions and have no deterministic service period.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Income Taxes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r>
      <w:tr>
        <w:trPr>
          <w:trHeight w:val="164"/>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4"/>
          </w:tcPr>
          <w:p>
            <w:pPr>
              <w:jc w:val="right"/>
              <w:ind w:right="661"/>
              <w:spacing w:after="0"/>
              <w:rPr>
                <w:sz w:val="20"/>
                <w:szCs w:val="20"/>
                <w:color w:val="auto"/>
              </w:rPr>
            </w:pPr>
            <w:r>
              <w:rPr>
                <w:rFonts w:ascii="Arial" w:cs="Arial" w:eastAsia="Arial" w:hAnsi="Arial"/>
                <w:sz w:val="13"/>
                <w:szCs w:val="13"/>
                <w:i w:val="1"/>
                <w:iCs w:val="1"/>
                <w:color w:val="auto"/>
              </w:rPr>
              <w:t>(In thousands, except percentages)</w:t>
            </w:r>
          </w:p>
        </w:tc>
      </w:tr>
      <w:tr>
        <w:trPr>
          <w:trHeight w:val="222"/>
        </w:trPr>
        <w:tc>
          <w:tcPr>
            <w:tcW w:w="7780" w:type="dxa"/>
            <w:vAlign w:val="bottom"/>
            <w:shd w:val="clear" w:color="auto" w:fill="BFE4FF"/>
          </w:tcPr>
          <w:p>
            <w:pPr>
              <w:ind w:left="2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BFE4FF"/>
          </w:tcPr>
          <w:p>
            <w:pPr>
              <w:jc w:val="right"/>
              <w:ind w:right="85"/>
              <w:spacing w:after="0"/>
              <w:rPr>
                <w:sz w:val="20"/>
                <w:szCs w:val="20"/>
                <w:color w:val="auto"/>
              </w:rPr>
            </w:pPr>
            <w:r>
              <w:rPr>
                <w:rFonts w:ascii="Arial" w:cs="Arial" w:eastAsia="Arial" w:hAnsi="Arial"/>
                <w:sz w:val="16"/>
                <w:szCs w:val="16"/>
                <w:color w:val="auto"/>
              </w:rPr>
              <w:t>(68,645)</w:t>
            </w: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BFE4FF"/>
          </w:tcPr>
          <w:p>
            <w:pPr>
              <w:jc w:val="right"/>
              <w:ind w:right="121"/>
              <w:spacing w:after="0"/>
              <w:rPr>
                <w:sz w:val="20"/>
                <w:szCs w:val="20"/>
                <w:color w:val="auto"/>
              </w:rPr>
            </w:pPr>
            <w:r>
              <w:rPr>
                <w:rFonts w:ascii="Arial" w:cs="Arial" w:eastAsia="Arial" w:hAnsi="Arial"/>
                <w:sz w:val="16"/>
                <w:szCs w:val="16"/>
                <w:color w:val="auto"/>
              </w:rPr>
              <w:t>51,682</w:t>
            </w:r>
          </w:p>
        </w:tc>
      </w:tr>
      <w:tr>
        <w:trPr>
          <w:trHeight w:val="215"/>
        </w:trPr>
        <w:tc>
          <w:tcPr>
            <w:tcW w:w="778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Benefit from income taxes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Effective tax rate</w:t>
            </w:r>
          </w:p>
        </w:tc>
        <w:tc>
          <w:tcPr>
            <w:tcW w:w="3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auto"/>
            </w:tcBorders>
            <w:shd w:val="clear" w:color="auto" w:fill="BFE4FF"/>
          </w:tcPr>
          <w:p>
            <w:pPr>
              <w:spacing w:after="0"/>
              <w:rPr>
                <w:sz w:val="18"/>
                <w:szCs w:val="18"/>
                <w:color w:val="auto"/>
              </w:rPr>
            </w:pPr>
          </w:p>
        </w:tc>
        <w:tc>
          <w:tcPr>
            <w:tcW w:w="13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 %</w:t>
            </w: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subject to taxation in the United States, United Kingdom, France, and various state jurisdictions. The Company’s effective tax rate of 0.8% is calculated quarterly based upon current assumptions relating to the full year’s estimated operating results and various tax-related items. Each quarter, the estimated annual effective tax rate is updated if the Company revises its forecast of earnings based upon its operating results. If there is a change in the estimated effective annual tax rate, a cumulative adjustment is recorded.</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difference between the effective tax rate of 0.8% and the U.S. federal statutory rate of 21.0% for the three months ended March 31, 2026 was due to changes in the valuation allowance, which entirely offsets the Company's net deferred tax assets in the United States, and the amortization of the identifiable intangible assets accounted for in purchase accounting. As of March 31, 2026, the Company determined that, based on an evaluation of all available positive and negative evidence, including cumulative losses and the Company's latest forecasts, it was more likely than not that the Company's deferred tax assets in the United States would not be realized and, therefore, the Company continued to record a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281940</wp:posOffset>
            </wp:positionV>
            <wp:extent cx="7046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Net (Loss) Income per Share</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the computation of the numerator and denominator used in the calculation of net (loss) income per share attributable to holders of the Company’s common stock. For the three months ended March 31, 2026, all potentially dilutive securities were excluded from diluted earnings per share as the Company reported a net loss for the period.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r>
      <w:tr>
        <w:trPr>
          <w:trHeight w:val="158"/>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80" w:type="dxa"/>
            <w:vAlign w:val="bottom"/>
            <w:gridSpan w:val="4"/>
          </w:tcPr>
          <w:p>
            <w:pPr>
              <w:jc w:val="right"/>
              <w:ind w:right="340"/>
              <w:spacing w:after="0"/>
              <w:rPr>
                <w:sz w:val="20"/>
                <w:szCs w:val="20"/>
                <w:color w:val="auto"/>
              </w:rPr>
            </w:pPr>
            <w:r>
              <w:rPr>
                <w:rFonts w:ascii="Arial" w:cs="Arial" w:eastAsia="Arial" w:hAnsi="Arial"/>
                <w:sz w:val="13"/>
                <w:szCs w:val="13"/>
                <w:i w:val="1"/>
                <w:iCs w:val="1"/>
                <w:color w:val="auto"/>
              </w:rPr>
              <w:t>(In thousands, except for per share amounts)</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7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(loss) income attributable to USA Rare Earth, Inc.</w:t>
            </w:r>
          </w:p>
        </w:tc>
        <w:tc>
          <w:tcPr>
            <w:tcW w:w="2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(66,989)</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51,832</w:t>
            </w:r>
          </w:p>
        </w:tc>
      </w:tr>
      <w:tr>
        <w:trPr>
          <w:trHeight w:val="215"/>
        </w:trPr>
        <w:tc>
          <w:tcPr>
            <w:tcW w:w="79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Declared and deemed dividends, and interest accretion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w:t>
            </w:r>
          </w:p>
        </w:tc>
      </w:tr>
      <w:tr>
        <w:trPr>
          <w:trHeight w:val="217"/>
        </w:trPr>
        <w:tc>
          <w:tcPr>
            <w:tcW w:w="7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Undistributed net (loss) income attributable to USA Rare Earth, Inc.</w:t>
            </w:r>
          </w:p>
        </w:tc>
        <w:tc>
          <w:tcPr>
            <w:tcW w:w="260" w:type="dxa"/>
            <w:vAlign w:val="bottom"/>
            <w:tcBorders>
              <w:bottom w:val="single" w:sz="8" w:color="auto"/>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(67,698)</w:t>
            </w:r>
          </w:p>
        </w:tc>
        <w:tc>
          <w:tcPr>
            <w:tcW w:w="10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auto"/>
            </w:tcBorders>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48,270</w:t>
            </w:r>
          </w:p>
        </w:tc>
      </w:tr>
      <w:tr>
        <w:trPr>
          <w:trHeight w:val="45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7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Weighted-average shares outstanding - basic</w:t>
            </w:r>
          </w:p>
        </w:tc>
        <w:tc>
          <w:tcPr>
            <w:tcW w:w="260" w:type="dxa"/>
            <w:vAlign w:val="bottom"/>
            <w:shd w:val="clear" w:color="auto" w:fill="BFE4FF"/>
          </w:tcPr>
          <w:p>
            <w:pPr>
              <w:spacing w:after="0"/>
              <w:rPr>
                <w:sz w:val="18"/>
                <w:szCs w:val="18"/>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196,479</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64,463</w:t>
            </w:r>
          </w:p>
        </w:tc>
      </w:tr>
      <w:tr>
        <w:trPr>
          <w:trHeight w:val="215"/>
        </w:trPr>
        <w:tc>
          <w:tcPr>
            <w:tcW w:w="7900" w:type="dxa"/>
            <w:vAlign w:val="bottom"/>
          </w:tcPr>
          <w:p>
            <w:pPr>
              <w:ind w:left="140"/>
              <w:spacing w:after="0"/>
              <w:rPr>
                <w:sz w:val="20"/>
                <w:szCs w:val="20"/>
                <w:color w:val="auto"/>
              </w:rPr>
            </w:pPr>
            <w:r>
              <w:rPr>
                <w:rFonts w:ascii="Arial" w:cs="Arial" w:eastAsia="Arial" w:hAnsi="Arial"/>
                <w:sz w:val="16"/>
                <w:szCs w:val="16"/>
                <w:color w:val="auto"/>
              </w:rPr>
              <w:t>Preferred shares</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13,774</w:t>
            </w:r>
          </w:p>
        </w:tc>
      </w:tr>
      <w:tr>
        <w:trPr>
          <w:trHeight w:val="217"/>
        </w:trPr>
        <w:tc>
          <w:tcPr>
            <w:tcW w:w="79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Incentive units outstanding prior to conversion</w:t>
            </w:r>
          </w:p>
        </w:tc>
        <w:tc>
          <w:tcPr>
            <w:tcW w:w="260" w:type="dxa"/>
            <w:vAlign w:val="bottom"/>
            <w:shd w:val="clear" w:color="auto" w:fill="BFE4FF"/>
          </w:tcPr>
          <w:p>
            <w:pPr>
              <w:spacing w:after="0"/>
              <w:rPr>
                <w:sz w:val="18"/>
                <w:szCs w:val="18"/>
                <w:color w:val="auto"/>
              </w:rPr>
            </w:pPr>
          </w:p>
        </w:tc>
        <w:tc>
          <w:tcPr>
            <w:tcW w:w="146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3,642</w:t>
            </w:r>
          </w:p>
        </w:tc>
      </w:tr>
      <w:tr>
        <w:trPr>
          <w:trHeight w:val="215"/>
        </w:trPr>
        <w:tc>
          <w:tcPr>
            <w:tcW w:w="7900" w:type="dxa"/>
            <w:vAlign w:val="bottom"/>
          </w:tcPr>
          <w:p>
            <w:pPr>
              <w:ind w:left="140"/>
              <w:spacing w:after="0"/>
              <w:rPr>
                <w:sz w:val="20"/>
                <w:szCs w:val="20"/>
                <w:color w:val="auto"/>
              </w:rPr>
            </w:pPr>
            <w:r>
              <w:rPr>
                <w:rFonts w:ascii="Arial" w:cs="Arial" w:eastAsia="Arial" w:hAnsi="Arial"/>
                <w:sz w:val="16"/>
                <w:szCs w:val="16"/>
                <w:color w:val="auto"/>
              </w:rPr>
              <w:t>Warrants outstanding prior to conversion</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7"/>
        </w:trPr>
        <w:tc>
          <w:tcPr>
            <w:tcW w:w="79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Weighted-average shares outstanding - diluted</w:t>
            </w:r>
          </w:p>
        </w:tc>
        <w:tc>
          <w:tcPr>
            <w:tcW w:w="260" w:type="dxa"/>
            <w:vAlign w:val="bottom"/>
            <w:tcBorders>
              <w:top w:val="single" w:sz="8" w:color="auto"/>
              <w:bottom w:val="single" w:sz="8" w:color="auto"/>
            </w:tcBorders>
            <w:shd w:val="clear" w:color="auto" w:fill="BFE4FF"/>
          </w:tcPr>
          <w:p>
            <w:pPr>
              <w:spacing w:after="0"/>
              <w:rPr>
                <w:sz w:val="18"/>
                <w:szCs w:val="18"/>
                <w:color w:val="auto"/>
              </w:rPr>
            </w:pPr>
          </w:p>
        </w:tc>
        <w:tc>
          <w:tcPr>
            <w:tcW w:w="13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196,479</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380" w:type="dxa"/>
            <w:vAlign w:val="bottom"/>
            <w:tcBorders>
              <w:top w:val="single" w:sz="8" w:color="auto"/>
              <w:bottom w:val="single" w:sz="8" w:color="auto"/>
            </w:tcBorders>
            <w:shd w:val="clear" w:color="auto" w:fill="BFE4FF"/>
          </w:tcPr>
          <w:p>
            <w:pPr>
              <w:spacing w:after="0"/>
              <w:rPr>
                <w:sz w:val="18"/>
                <w:szCs w:val="18"/>
                <w:color w:val="auto"/>
              </w:rPr>
            </w:pPr>
          </w:p>
        </w:tc>
        <w:tc>
          <w:tcPr>
            <w:tcW w:w="12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83,079</w:t>
            </w:r>
          </w:p>
        </w:tc>
      </w:tr>
      <w:tr>
        <w:trPr>
          <w:trHeight w:val="46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Net (loss) income per share attributable to USA Rare Earth, Inc.</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7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BFE4FF"/>
          </w:tcPr>
          <w:p>
            <w:pPr>
              <w:spacing w:after="0"/>
              <w:rPr>
                <w:sz w:val="18"/>
                <w:szCs w:val="18"/>
                <w:color w:val="auto"/>
              </w:rPr>
            </w:pPr>
          </w:p>
        </w:tc>
        <w:tc>
          <w:tcPr>
            <w:tcW w:w="380" w:type="dxa"/>
            <w:vAlign w:val="bottom"/>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0.75</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r>
    </w:tbl>
    <w:p>
      <w:pPr>
        <w:spacing w:after="0" w:line="3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categories of potential shares that are excluded from the diluted per share computation as their effect would be anti-dilutive.</w:t>
      </w:r>
    </w:p>
    <w:p>
      <w:pPr>
        <w:spacing w:after="0" w:line="4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gridSpan w:val="2"/>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164"/>
        </w:trPr>
        <w:tc>
          <w:tcPr>
            <w:tcW w:w="9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i w:val="1"/>
                <w:iCs w:val="1"/>
                <w:color w:val="auto"/>
                <w:w w:val="97"/>
              </w:rPr>
              <w:t>(Shares in thousands)</w:t>
            </w:r>
          </w:p>
        </w:tc>
        <w:tc>
          <w:tcPr>
            <w:tcW w:w="1000" w:type="dxa"/>
            <w:vAlign w:val="bottom"/>
          </w:tcPr>
          <w:p>
            <w:pPr>
              <w:spacing w:after="0"/>
              <w:rPr>
                <w:sz w:val="14"/>
                <w:szCs w:val="14"/>
                <w:color w:val="auto"/>
              </w:rPr>
            </w:pPr>
          </w:p>
        </w:tc>
      </w:tr>
      <w:tr>
        <w:trPr>
          <w:trHeight w:val="222"/>
        </w:trPr>
        <w:tc>
          <w:tcPr>
            <w:tcW w:w="8940" w:type="dxa"/>
            <w:vAlign w:val="bottom"/>
            <w:gridSpan w:val="3"/>
            <w:shd w:val="clear" w:color="auto" w:fill="BFE4FF"/>
          </w:tcPr>
          <w:p>
            <w:pPr>
              <w:ind w:left="20"/>
              <w:spacing w:after="0" w:line="222" w:lineRule="exact"/>
              <w:rPr>
                <w:sz w:val="20"/>
                <w:szCs w:val="20"/>
                <w:color w:val="auto"/>
              </w:rPr>
            </w:pPr>
            <w:r>
              <w:rPr>
                <w:rFonts w:ascii="Arial" w:cs="Arial" w:eastAsia="Arial" w:hAnsi="Arial"/>
                <w:sz w:val="16"/>
                <w:szCs w:val="16"/>
                <w:color w:val="auto"/>
              </w:rPr>
              <w:t xml:space="preserve">12% Series A Cumulative Convertible Preferred Stock </w:t>
            </w:r>
            <w:r>
              <w:rPr>
                <w:rFonts w:ascii="Arial" w:cs="Arial" w:eastAsia="Arial" w:hAnsi="Arial"/>
                <w:sz w:val="21"/>
                <w:szCs w:val="21"/>
                <w:color w:val="auto"/>
                <w:vertAlign w:val="superscript"/>
              </w:rPr>
              <w:t>(1)</w:t>
            </w:r>
          </w:p>
        </w:tc>
        <w:tc>
          <w:tcPr>
            <w:tcW w:w="6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BFE4FF"/>
          </w:tcPr>
          <w:p>
            <w:pPr>
              <w:spacing w:after="0"/>
              <w:rPr>
                <w:sz w:val="19"/>
                <w:szCs w:val="19"/>
                <w:color w:val="auto"/>
              </w:rPr>
            </w:pPr>
          </w:p>
        </w:tc>
        <w:tc>
          <w:tcPr>
            <w:tcW w:w="60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8940" w:type="dxa"/>
            <w:vAlign w:val="bottom"/>
            <w:gridSpan w:val="3"/>
          </w:tcPr>
          <w:p>
            <w:pPr>
              <w:ind w:left="20"/>
              <w:spacing w:after="0"/>
              <w:rPr>
                <w:sz w:val="20"/>
                <w:szCs w:val="20"/>
                <w:color w:val="auto"/>
              </w:rPr>
            </w:pPr>
            <w:r>
              <w:rPr>
                <w:rFonts w:ascii="Arial" w:cs="Arial" w:eastAsia="Arial" w:hAnsi="Arial"/>
                <w:sz w:val="16"/>
                <w:szCs w:val="16"/>
                <w:color w:val="auto"/>
              </w:rPr>
              <w:t>Series A warrants</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8940" w:type="dxa"/>
            <w:vAlign w:val="bottom"/>
            <w:gridSpan w:val="3"/>
            <w:shd w:val="clear" w:color="auto" w:fill="BFE4FF"/>
          </w:tcPr>
          <w:p>
            <w:pPr>
              <w:ind w:left="20"/>
              <w:spacing w:after="0" w:line="217" w:lineRule="exact"/>
              <w:rPr>
                <w:sz w:val="20"/>
                <w:szCs w:val="20"/>
                <w:color w:val="auto"/>
              </w:rPr>
            </w:pPr>
            <w:r>
              <w:rPr>
                <w:rFonts w:ascii="Arial" w:cs="Arial" w:eastAsia="Arial" w:hAnsi="Arial"/>
                <w:sz w:val="16"/>
                <w:szCs w:val="16"/>
                <w:color w:val="auto"/>
              </w:rPr>
              <w:t xml:space="preserve">Earnout shares </w:t>
            </w:r>
            <w:r>
              <w:rPr>
                <w:rFonts w:ascii="Arial" w:cs="Arial" w:eastAsia="Arial" w:hAnsi="Arial"/>
                <w:sz w:val="21"/>
                <w:szCs w:val="21"/>
                <w:color w:val="auto"/>
                <w:vertAlign w:val="superscript"/>
              </w:rPr>
              <w:t>(2)</w:t>
            </w:r>
          </w:p>
        </w:tc>
        <w:tc>
          <w:tcPr>
            <w:tcW w:w="6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10,100</w:t>
            </w:r>
          </w:p>
        </w:tc>
        <w:tc>
          <w:tcPr>
            <w:tcW w:w="10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10,100</w:t>
            </w:r>
          </w:p>
        </w:tc>
      </w:tr>
      <w:tr>
        <w:trPr>
          <w:trHeight w:val="216"/>
        </w:trPr>
        <w:tc>
          <w:tcPr>
            <w:tcW w:w="7940" w:type="dxa"/>
            <w:vAlign w:val="bottom"/>
            <w:tcBorders>
              <w:bottom w:val="single" w:sz="8" w:color="BFE4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Investor warrants </w:t>
            </w:r>
            <w:r>
              <w:rPr>
                <w:rFonts w:ascii="Arial" w:cs="Arial" w:eastAsia="Arial" w:hAnsi="Arial"/>
                <w:sz w:val="21"/>
                <w:szCs w:val="21"/>
                <w:color w:val="auto"/>
                <w:vertAlign w:val="superscript"/>
              </w:rPr>
              <w:t>(3)</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23,780</w:t>
            </w:r>
          </w:p>
        </w:tc>
      </w:tr>
      <w:tr>
        <w:trPr>
          <w:trHeight w:val="217"/>
        </w:trPr>
        <w:tc>
          <w:tcPr>
            <w:tcW w:w="8940" w:type="dxa"/>
            <w:vAlign w:val="bottom"/>
            <w:gridSpan w:val="3"/>
            <w:shd w:val="clear" w:color="auto" w:fill="BFE4FF"/>
          </w:tcPr>
          <w:p>
            <w:pPr>
              <w:ind w:left="140"/>
              <w:spacing w:after="0"/>
              <w:rPr>
                <w:sz w:val="20"/>
                <w:szCs w:val="20"/>
                <w:color w:val="auto"/>
              </w:rPr>
            </w:pPr>
            <w:r>
              <w:rPr>
                <w:rFonts w:ascii="Arial" w:cs="Arial" w:eastAsia="Arial" w:hAnsi="Arial"/>
                <w:sz w:val="16"/>
                <w:szCs w:val="16"/>
                <w:color w:val="auto"/>
              </w:rPr>
              <w:t>Total</w:t>
            </w:r>
          </w:p>
        </w:tc>
        <w:tc>
          <w:tcPr>
            <w:tcW w:w="600" w:type="dxa"/>
            <w:vAlign w:val="bottom"/>
            <w:shd w:val="clear" w:color="auto" w:fill="BFE4FF"/>
          </w:tcPr>
          <w:p>
            <w:pPr>
              <w:jc w:val="right"/>
              <w:ind w:right="2"/>
              <w:spacing w:after="0"/>
              <w:rPr>
                <w:sz w:val="20"/>
                <w:szCs w:val="20"/>
                <w:color w:val="auto"/>
              </w:rPr>
            </w:pPr>
            <w:r>
              <w:rPr>
                <w:rFonts w:ascii="Arial" w:cs="Arial" w:eastAsia="Arial" w:hAnsi="Arial"/>
                <w:sz w:val="16"/>
                <w:szCs w:val="16"/>
                <w:color w:val="auto"/>
              </w:rPr>
              <w:t>14,911</w:t>
            </w:r>
          </w:p>
        </w:tc>
        <w:tc>
          <w:tcPr>
            <w:tcW w:w="10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33,880</w:t>
            </w:r>
          </w:p>
        </w:tc>
      </w:tr>
      <w:tr>
        <w:trPr>
          <w:trHeight w:val="108"/>
        </w:trPr>
        <w:tc>
          <w:tcPr>
            <w:tcW w:w="960" w:type="dxa"/>
            <w:vAlign w:val="bottom"/>
            <w:tcBorders>
              <w:top w:val="single" w:sz="8" w:color="BFE4FF"/>
              <w:bottom w:val="single" w:sz="8" w:color="auto"/>
            </w:tcBorders>
          </w:tcPr>
          <w:p>
            <w:pPr>
              <w:spacing w:after="0"/>
              <w:rPr>
                <w:sz w:val="9"/>
                <w:szCs w:val="9"/>
                <w:color w:val="auto"/>
              </w:rPr>
            </w:pPr>
          </w:p>
        </w:tc>
        <w:tc>
          <w:tcPr>
            <w:tcW w:w="6980" w:type="dxa"/>
            <w:vAlign w:val="bottom"/>
            <w:tcBorders>
              <w:top w:val="single" w:sz="8" w:color="BFE4FF"/>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BFE4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r>
    </w:tbl>
    <w:p>
      <w:pPr>
        <w:spacing w:after="0" w:line="8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the amount of potential common shares, if converted at each reported date.</w:t>
      </w:r>
    </w:p>
    <w:p>
      <w:pPr>
        <w:ind w:left="360" w:hanging="352"/>
        <w:spacing w:after="0" w:line="187" w:lineRule="auto"/>
        <w:tabs>
          <w:tab w:leader="none" w:pos="3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contingently issuable shares outstanding at each reported date.</w:t>
      </w:r>
    </w:p>
    <w:p>
      <w:pPr>
        <w:ind w:left="360" w:hanging="352"/>
        <w:spacing w:after="0" w:line="197" w:lineRule="auto"/>
        <w:tabs>
          <w:tab w:leader="none" w:pos="3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Investor warrants outstanding as of March 31, 2025 were fully exercised during 2025 and are therefore excluded from the March 31, 2026 table.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Segment Reporting</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operates in a single reportable operating segment encompassing its vertically integrated rare earth element magnet production and supply chain. The Company’s chief operating decision maker (“CODM”) is the Company’s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417830</wp:posOffset>
            </wp:positionV>
            <wp:extent cx="7046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assesses performance and allocates resources primarily on the basis of consolidated net (loss) income and total assets, which are reported on the Company’s Condensed Consolidated Statements of Operations and Comprehensive (Loss) Income and Condensed Consolidated Balance Sheets, respectively. The CODM does not regularly review discrete segment revenue or expense categories beyond the consolidated financial statements for purposes of evaluating performance or allocating resources. Accordingly, the Company has not presented additional quantitative disclosures of significant segment expenses, as such information is not regularly provided to the CODM.</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the Company operates in a single reportable segment and the measures used by the CODM are consistent with the consolidated financial statements, no reconciliation is required between segment measures and the consolidated amounts.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Concentrations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the Company’s revenue is derived from sales of casting and strip casting material based on the customers’ “shipped to” address. The following table presents domestic and international revenue. No revenue was reported in the three months ended March 31, 2025.</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revenue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Three Months Ended</w:t>
      </w:r>
    </w:p>
    <w:p>
      <w:pPr>
        <w:jc w:val="center"/>
        <w:ind w:right="18"/>
        <w:spacing w:after="0"/>
        <w:rPr>
          <w:sz w:val="20"/>
          <w:szCs w:val="20"/>
          <w:color w:val="auto"/>
        </w:rPr>
      </w:pPr>
      <w:r>
        <w:rPr>
          <w:rFonts w:ascii="Arial" w:cs="Arial" w:eastAsia="Arial" w:hAnsi="Arial"/>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03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4" w:lineRule="exact"/>
        <w:rPr>
          <w:sz w:val="20"/>
          <w:szCs w:val="20"/>
          <w:color w:val="auto"/>
        </w:rPr>
      </w:pPr>
    </w:p>
    <w:p>
      <w:pPr>
        <w:ind w:left="362"/>
        <w:spacing w:after="0"/>
        <w:rPr>
          <w:sz w:val="20"/>
          <w:szCs w:val="20"/>
          <w:color w:val="auto"/>
        </w:rPr>
      </w:pPr>
      <w:r>
        <w:rPr>
          <w:rFonts w:ascii="Arial" w:cs="Arial" w:eastAsia="Arial" w:hAnsi="Arial"/>
          <w:sz w:val="13"/>
          <w:szCs w:val="13"/>
          <w:i w:val="1"/>
          <w:iCs w:val="1"/>
          <w:color w:val="auto"/>
        </w:rPr>
        <w:t>(In thousands)</w:t>
      </w:r>
    </w:p>
    <w:p>
      <w:pPr>
        <w:spacing w:after="0" w:line="28" w:lineRule="exact"/>
        <w:rPr>
          <w:sz w:val="20"/>
          <w:szCs w:val="20"/>
          <w:color w:val="auto"/>
        </w:rPr>
      </w:pPr>
    </w:p>
    <w:p>
      <w:pPr>
        <w:ind w:left="1222" w:hanging="1222"/>
        <w:spacing w:after="0"/>
        <w:tabs>
          <w:tab w:leader="none" w:pos="1222" w:val="left"/>
        </w:tabs>
        <w:numPr>
          <w:ilvl w:val="0"/>
          <w:numId w:val="18"/>
        </w:numPr>
        <w:rPr>
          <w:rFonts w:ascii="Arial" w:cs="Arial" w:eastAsia="Arial" w:hAnsi="Arial"/>
          <w:sz w:val="15"/>
          <w:szCs w:val="15"/>
          <w:color w:val="auto"/>
        </w:rPr>
      </w:pPr>
      <w:r>
        <w:rPr>
          <w:rFonts w:ascii="Arial" w:cs="Arial" w:eastAsia="Arial" w:hAnsi="Arial"/>
          <w:sz w:val="15"/>
          <w:szCs w:val="15"/>
          <w:color w:val="auto"/>
        </w:rPr>
        <w:t>960</w:t>
      </w:r>
    </w:p>
    <w:p>
      <w:pPr>
        <w:spacing w:after="0" w:line="43" w:lineRule="exact"/>
        <w:rPr>
          <w:rFonts w:ascii="Arial" w:cs="Arial" w:eastAsia="Arial" w:hAnsi="Arial"/>
          <w:sz w:val="15"/>
          <w:szCs w:val="15"/>
          <w:color w:val="auto"/>
        </w:rPr>
      </w:pPr>
    </w:p>
    <w:p>
      <w:pPr>
        <w:ind w:left="1082"/>
        <w:spacing w:after="0"/>
        <w:rPr>
          <w:rFonts w:ascii="Arial" w:cs="Arial" w:eastAsia="Arial" w:hAnsi="Arial"/>
          <w:sz w:val="15"/>
          <w:szCs w:val="15"/>
          <w:color w:val="auto"/>
        </w:rPr>
      </w:pPr>
      <w:r>
        <w:rPr>
          <w:rFonts w:ascii="Arial" w:cs="Arial" w:eastAsia="Arial" w:hAnsi="Arial"/>
          <w:sz w:val="15"/>
          <w:szCs w:val="15"/>
          <w:color w:val="auto"/>
        </w:rPr>
        <w:t>4,738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-6139815</wp:posOffset>
            </wp:positionH>
            <wp:positionV relativeFrom="paragraph">
              <wp:posOffset>-245745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27940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7" w:lineRule="exact"/>
        <w:rPr>
          <w:sz w:val="20"/>
          <w:szCs w:val="20"/>
          <w:color w:val="auto"/>
        </w:rPr>
      </w:pPr>
    </w:p>
    <w:p>
      <w:pPr>
        <w:ind w:left="1082" w:hanging="1082"/>
        <w:spacing w:after="0"/>
        <w:tabs>
          <w:tab w:leader="none" w:pos="1082" w:val="left"/>
        </w:tabs>
        <w:numPr>
          <w:ilvl w:val="0"/>
          <w:numId w:val="19"/>
        </w:numPr>
        <w:rPr>
          <w:rFonts w:ascii="Arial" w:cs="Arial" w:eastAsia="Arial" w:hAnsi="Arial"/>
          <w:sz w:val="15"/>
          <w:szCs w:val="15"/>
          <w:color w:val="auto"/>
        </w:rPr>
      </w:pPr>
      <w:r>
        <w:rPr>
          <w:rFonts w:ascii="Arial" w:cs="Arial" w:eastAsia="Arial" w:hAnsi="Arial"/>
          <w:sz w:val="15"/>
          <w:szCs w:val="15"/>
          <w:color w:val="auto"/>
        </w:rPr>
        <w:t>5,698</w:t>
      </w:r>
    </w:p>
    <w:p>
      <w:pPr>
        <w:spacing w:after="0" w:line="213" w:lineRule="exact"/>
        <w:rPr>
          <w:sz w:val="20"/>
          <w:szCs w:val="20"/>
          <w:color w:val="auto"/>
        </w:rPr>
      </w:pPr>
    </w:p>
    <w:p>
      <w:pPr>
        <w:sectPr>
          <w:pgSz w:w="11900" w:h="16838" w:orient="portrait"/>
          <w:cols w:equalWidth="0" w:num="2">
            <w:col w:w="8958" w:space="720"/>
            <w:col w:w="1562"/>
          </w:cols>
          <w:pgMar w:left="320" w:top="124"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customers that account for 10% or more of the Company’s revenue. Concentration of revenue between a limited number of customers shifts regularly, depending on when revenue is recognized. The percentages by customer reflect specific relationships or contracts that would concentrate revenue for the period presented and do not indicate a trend specific to any one customer. No revenue was reported in the three months ended March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700" w:type="dxa"/>
            <w:vAlign w:val="bottom"/>
          </w:tcPr>
          <w:p>
            <w:pPr>
              <w:jc w:val="right"/>
              <w:ind w:right="62"/>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9540" w:type="dxa"/>
            <w:vAlign w:val="bottom"/>
            <w:tcBorders>
              <w:bottom w:val="single" w:sz="8" w:color="BFE4FF"/>
            </w:tcBorders>
          </w:tcPr>
          <w:p>
            <w:pPr>
              <w:spacing w:after="0"/>
              <w:rPr>
                <w:sz w:val="16"/>
                <w:szCs w:val="16"/>
                <w:color w:val="auto"/>
              </w:rPr>
            </w:pPr>
          </w:p>
        </w:tc>
        <w:tc>
          <w:tcPr>
            <w:tcW w:w="17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March 31, 2026</w:t>
            </w:r>
          </w:p>
        </w:tc>
      </w:tr>
      <w:tr>
        <w:trPr>
          <w:trHeight w:val="210"/>
        </w:trPr>
        <w:tc>
          <w:tcPr>
            <w:tcW w:w="9540" w:type="dxa"/>
            <w:vAlign w:val="bottom"/>
            <w:shd w:val="clear" w:color="auto" w:fill="BFE4FF"/>
          </w:tcPr>
          <w:p>
            <w:pPr>
              <w:ind w:left="20"/>
              <w:spacing w:after="0"/>
              <w:rPr>
                <w:sz w:val="20"/>
                <w:szCs w:val="20"/>
                <w:color w:val="auto"/>
              </w:rPr>
            </w:pPr>
            <w:r>
              <w:rPr>
                <w:rFonts w:ascii="Arial" w:cs="Arial" w:eastAsia="Arial" w:hAnsi="Arial"/>
                <w:sz w:val="16"/>
                <w:szCs w:val="16"/>
                <w:color w:val="auto"/>
              </w:rPr>
              <w:t>Customer 1</w:t>
            </w:r>
          </w:p>
        </w:tc>
        <w:tc>
          <w:tcPr>
            <w:tcW w:w="17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Customer 2</w:t>
            </w:r>
          </w:p>
        </w:tc>
        <w:tc>
          <w:tcPr>
            <w:tcW w:w="170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9540" w:type="dxa"/>
            <w:vAlign w:val="bottom"/>
            <w:shd w:val="clear" w:color="auto" w:fill="BFE4FF"/>
          </w:tcPr>
          <w:p>
            <w:pPr>
              <w:ind w:left="20"/>
              <w:spacing w:after="0"/>
              <w:rPr>
                <w:sz w:val="20"/>
                <w:szCs w:val="20"/>
                <w:color w:val="auto"/>
              </w:rPr>
            </w:pPr>
            <w:r>
              <w:rPr>
                <w:rFonts w:ascii="Arial" w:cs="Arial" w:eastAsia="Arial" w:hAnsi="Arial"/>
                <w:sz w:val="16"/>
                <w:szCs w:val="16"/>
                <w:color w:val="auto"/>
              </w:rPr>
              <w:t>Customer 3</w:t>
            </w:r>
          </w:p>
        </w:tc>
        <w:tc>
          <w:tcPr>
            <w:tcW w:w="17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Customer 4</w:t>
            </w:r>
          </w:p>
        </w:tc>
        <w:tc>
          <w:tcPr>
            <w:tcW w:w="1700" w:type="dxa"/>
            <w:vAlign w:val="bottom"/>
          </w:tcPr>
          <w:p>
            <w:pPr>
              <w:jc w:val="right"/>
              <w:spacing w:after="0"/>
              <w:rPr>
                <w:sz w:val="20"/>
                <w:szCs w:val="20"/>
                <w:color w:val="auto"/>
              </w:rPr>
            </w:pPr>
            <w:r>
              <w:rPr>
                <w:rFonts w:ascii="Arial" w:cs="Arial" w:eastAsia="Arial" w:hAnsi="Arial"/>
                <w:sz w:val="16"/>
                <w:szCs w:val="16"/>
                <w:color w:val="auto"/>
              </w:rPr>
              <w:t>13 %</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Government Grants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U.S. Government Transaction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26, 2026, the Company announced two non-binding letters of intent with U.S. government agencies representing a total of approximately $ 1.58 billion in potential funding and strategic support. The first non-binding letter of intent with the U.S. Department of Commerce (the “DOC Letter of Intent”) covers $277.0 million in direct funding awards under the CHIPS Act, and $1.30 billion in senior secured debt with each advance having a 15-year term and bearing a fixed or floating interest rate. The second non-binding letter of intent with the U.S. Department of Energy's National Energy Technology Laboratory (the “DOE Letter of Intent”), establishes a collaboration to advance HREE separation technologies at our Colorado Facility and Round Top Deposit, leveraging digital twin technology. Collectively, these two letters of intent and their contemplated transactions are referred to as the “Expected U.S. Government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427990</wp:posOffset>
            </wp:positionV>
            <wp:extent cx="70465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conditions to the negotiation and execution of definitive documentation for the Expected U.S. Government Transaction, the Company must, among other things: (i) raise at least $500.0 million from non-federal sources, which was satisfied upon the closing of the $1.50B PIPE in January 2026; (ii) obtain two memoranda of understanding from semiconductor end or midstream users; (iii) obtain neodymium praseodymium oxide and MREC feedstock supply agreements with a term at least through 2027; (iv) exercise a surface purchase option with the Texas General Land Office; (v) implement certain third-party recommendations and third-party validation of nuclear material licensing requirements at the Company's research and development facility in Wheat Ridge, Colorado; and (vi) define a power infrastructure plan for the Company's magnet manufacturing facility in Stillwater, Oklahoma.</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U.S. Government's $277.0 million in direct funding awards includes a condition requiring the Company to issue to the U.S. government $277.0 million of common stock (approximately 16.1 million shares at $17.17 per share), and the $1.30 billion senior secured loan would require the issuance of warrants to the U.S. government representing an additional 10% of the Company's fully diluted shares outstanding (approximately 17.5 million shares with an exercise price of $17.17 per share and a 10-year exercise period). In addition, to meet certain milestones to obtain funding awards and debt financing to reimburse the Company for its capital expenditures under the Expected U.S. Government Transaction, the Company would be required to raise a significant amount of capital during 2026 and 2027 and establish a $250.0 million revolving credit facility by December 31, 2026.</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Subsequent Events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Share Conversion</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As a result, 5.0 million earnout shares were converted into shares of the Company’s common stock.</w:t>
      </w:r>
    </w:p>
    <w:p>
      <w:pPr>
        <w:spacing w:after="0" w:line="20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earnout shares were classified as liabilities and remeasured at fair value on a recurring basis prior to conversion. Upon conversion, the related earnout liability was reclassified to common stock and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 The remaining earnout shares associated with the second tranche continue to be classified as a liability and will remain subject to remeasurement until the applicable market</w:t>
      </w:r>
      <w:r>
        <w:rPr>
          <w:rFonts w:ascii="MS PGothic" w:cs="MS PGothic" w:eastAsia="MS PGothic" w:hAnsi="MS PGothic"/>
          <w:sz w:val="18"/>
          <w:szCs w:val="18"/>
          <w:color w:val="auto"/>
        </w:rPr>
        <w:t>‑</w:t>
      </w:r>
      <w:r>
        <w:rPr>
          <w:rFonts w:ascii="Arial" w:cs="Arial" w:eastAsia="Arial" w:hAnsi="Arial"/>
          <w:sz w:val="18"/>
          <w:szCs w:val="18"/>
          <w:color w:val="auto"/>
        </w:rPr>
        <w:t>price condition is achieved or the earnout period expires. The second tranche of 5.0 million earnout shares will become payable when the Company’s common stock price exceeds $20.00 per share for at least 20 out of 30 trading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Carester SAS Investment</w:t>
      </w:r>
    </w:p>
    <w:p>
      <w:pPr>
        <w:spacing w:after="0" w:line="2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April 9, 2026, the Company entered into a binding letter of intent (the “Carester LOI”) to acquire a 12.5% equity interest in Carester SAS (“Carester”), the parent company of Caremag SAS, for cash and equity consideration amounting to €40.0 million, or approximately $46.4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proposed consideration consists of €28.3 million in cash, or approximately $32.9 million, and €11.7 million in equity consideration, or approximately $13.5 million, payable in shares of the Company’s common stock, in each case subject to customary adjustments, including the potential substitution of cash in lieu of the Company’s common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number of shares of the Company’s common stock to be issued will be determined based on the market price of the Company’s common stock on the closing date of the transaction. As a result, the actual U.S. dollar value of the cash and equity consideration, when translated from euros to U.S. dollars, may differ from the estimated amounts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SVRE Holdings Ltd. Acquisition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19, 2026, the Company entered into a definitive agreement to acquire 100% of SVRE Holdings Ltd., the parent company of Serra Verde Group (“Serra Verde”), for $300.0 million in cash and 126.8 million shares of the Company’s common stock (approximately $ 2.53 billion) for total consideration of approximately $2.83 billion. This acquisition is subject to customary conditions. Serra Verde operates a rare earths project in Brazil that is currently in commercial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269875</wp:posOffset>
            </wp:positionV>
            <wp:extent cx="7046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i w:val="1"/>
          <w:iCs w:val="1"/>
          <w:color w:val="0A2299"/>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Semiconductor Innovation Fund Grant</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11, 2026, the Company entered into a Grant Agreement with the Office of the Governor of the State of Texas (the “OOG”) pursuant to the Texas Semiconductor Innovation Fund (“TSIF”), Grant No. TSIF 26-016P. Under the Grant Agreement, the OOG has agreed to reimburse the Company for certain allowable costs directly allocable to the Round Top Project, up to a maximum amount of $14.2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grant is disbursed on a cost reimbursement basis and is subject to the Company's strict compliance with the terms and conditions of the Grant Agreement, including applicable reporting, audit, and performance requirements. The Grant Agreement terminates upon the completion of the grant project, on December 31, 2028, or upon the depletion of grant funds, whichever occurs first.</w:t>
      </w:r>
    </w:p>
    <w:p>
      <w:pPr>
        <w:spacing w:after="0" w:line="200" w:lineRule="exact"/>
        <w:rPr>
          <w:sz w:val="20"/>
          <w:szCs w:val="20"/>
          <w:color w:val="auto"/>
        </w:rPr>
      </w:pP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and analysis is intended to help the reader understand our results of operations and financial condition. It should be read in conjunction with the Condensed Consolidated Financial Statements and related Notes included in Part I, Item 1, “Financial Statements (Unaudited),” in this Quarterly Report on Form 10-Q (the “Notes”). The following discussion may contain forward-looking statements. Forward-looking statements are not guarantees of performance. Although we believe these forward-looking statements are reasonable when made, we cannot assure you that we will achieve the plans or expectations referenced in our forward-looking statements. Our actual results and the timing of events may differ materially from those expressed or implied as a result of various factors, including those set forth in the sections titled “Risk Factors” and “Cautionary Note Regarding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building a leading global rare earth value chain, from mine to magnet and beyond. We intend to secure, reshore, and grow the materials intelligence and production technologies required to stand up a resilient rare earth industry. This advanced industrial operating system should strengthen supply-chain security for the national defense, manufacturing and technology of the United States (“U.S.”) and its allies. Our plan is to build an integrated platform to encompass the entire rare earth value chain: extraction and separation of rare earth oxides; conversion of oxides into metals, alloys and strip-cast; and production of sintered neodymium-iron-boron (“NdFeB”) permanent magnets, which we also refer to as neo magnets. This capability should address the supply-chain vulnerabilities created by China’s current dominance of rare earth processing, and metal and magnet manufacturing.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Comparability of Results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2025, we completed two transactions that materially affect the comparability of the results discussed below. On March 13, 2025, we consummated our business combination with USA Rare Earth, LLC and became a publicly traded company on Nasdaq under the symbol “USAR.” On November 18, 2025, we acquired Less Common Metals Ltd. (“Less Common Metals”), a rare earth metal and alloy manufacturer based in Cheshire, United Kingdom.</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the three months ended March 31, 2026 reflect a full quarter of Less Common Metals’ operations, while the prior-year period reflects none. All of our revenue for the three months ended March 31, 2026 is attributable to Less Common Metals. Accordingly, revenue, gross profit, and operating expenses for the three months ended March 31, 2026 are not comparable with the corresponding line items for the three months ended March 31, 2025.</w:t>
      </w:r>
    </w:p>
    <w:p>
      <w:pPr>
        <w:spacing w:after="0" w:line="203" w:lineRule="exact"/>
        <w:rPr>
          <w:sz w:val="20"/>
          <w:szCs w:val="20"/>
          <w:color w:val="auto"/>
        </w:rPr>
      </w:pPr>
    </w:p>
    <w:p>
      <w:pPr>
        <w:jc w:val="both"/>
        <w:spacing w:after="0" w:line="224" w:lineRule="exact"/>
        <w:rPr>
          <w:rFonts w:ascii="Arial" w:cs="Arial" w:eastAsia="Arial" w:hAnsi="Arial"/>
          <w:sz w:val="18"/>
          <w:szCs w:val="18"/>
          <w:color w:val="auto"/>
        </w:rPr>
      </w:pPr>
      <w:hyperlink r:id="rId28">
        <w:r>
          <w:rPr>
            <w:rFonts w:ascii="Arial" w:cs="Arial" w:eastAsia="Arial" w:hAnsi="Arial"/>
            <w:sz w:val="18"/>
            <w:szCs w:val="18"/>
            <w:color w:val="auto"/>
          </w:rPr>
          <w:t>For a complete description of both transactions, refer to Note 2, “Merger Transaction and Acquisition,” in the Notes to Consolidated Financial</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2025 (the “2025 Annual Report”) filed with</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the SEC on March 30, 2026.</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47625</wp:posOffset>
            </wp:positionH>
            <wp:positionV relativeFrom="paragraph">
              <wp:posOffset>280670</wp:posOffset>
            </wp:positionV>
            <wp:extent cx="70465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 Key Trends, Opportunities and Uncertainties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an early-stage company with a limited operating history and intend to grow our global value chain though organic growth including capital and operational expenditures, as well as through strategic initiatives. These investments may exceed our revenues over the next several years. Our revenues for the three months ended March 31, 2026 were derived solely from our Less Common Metals operations following the acquisition of Less Common Metals in 2025, and we have not yet generated revenues from our neo magnet manufacturing or mineral production. We incurred a net loss of $ 68.1 million for the three months ended March 31, 2026. Our historical results are not indicative of our future results, and our ability to generate sufficient revenue to achieve profitability will depend largely on the successful development and scaling of our integrated mine-to-magnet platform and our global value chain.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$1.50 Billion Private Investment In Public Equity (“PIPE”)</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27, 2026, we completed a private placement, structured as a PIPE with institutional investors, of 69.8 million shares of our common stock for gross proceeds of $1.50 billion (“$1.50B PIPE”). The $1.50B PIPE financing provides the capital to invest in our value chain to accelerate our production capacity, expand our geographic footprint, and secure the equipment and feedstock necessary to achieve our strategic goals.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U.S. Government Transaction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26, 2026, we announced two non-binding letters of intent with U.S. government agencies representing a total of approximately $1.58 billion in potential funding and strategic support. The first non-binding letter of intent with the U.S. Department of Commerce (the “DOC Letter of Intent”) covers $ 277.0 million in direct funding awards under the CHIPS Act, and $1.30 billion in senior secured debt with each advance having a 15-year term and bearing a fixed or floating interest rate. The second non-binding letter of intent with the U.S. Department of Energy's National Energy Technology Laboratory (the “DOE Letter of Intent”), establishes a collaboration to advance heavy rare earth element (“HREE”) separation technologies at our Colorado Facility and Round Top Deposit, leveraging digital twin technology. Together, these two letters of intent and their contemplated transactions are referred to as the “Expected U.S. Government Transaction.” See Note 12, “Government Grants” of the Notes for more information about the terms of the Letters of Intent.</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if consummated on the terms described therein, the Expected U.S. Government Transaction would represent a transformative source of capital that supports our strategic goals to further accelerate the growth of our integrated rare earth value chain and strengthens our positioning as a domestic supplier of rare earth elements (“REEs”) and NdFeB permanent magnets for both commercial and national security applications.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transactions remain subject to the negotiation and execution of definitive agreements, the satisfaction of numerous conditions, and final government approvals, and there can be no assurance that they will be consummated on the anticipated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Acquisition of Texas Mineral Resources Corp.</w:t>
      </w:r>
    </w:p>
    <w:p>
      <w:pPr>
        <w:spacing w:after="0" w:line="25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On March 4, 2026, we entered into a definitive Agreement and Plan of Merger with Texas Mineral Resources Corp. (“TMRC”), pursuant to which we expect to acquire 100% of the outstanding shares of TMRC in an all</w:t>
      </w:r>
      <w:r>
        <w:rPr>
          <w:rFonts w:ascii="MS PGothic" w:cs="MS PGothic" w:eastAsia="MS PGothic" w:hAnsi="MS PGothic"/>
          <w:sz w:val="18"/>
          <w:szCs w:val="18"/>
          <w:color w:val="auto"/>
        </w:rPr>
        <w:t>‑</w:t>
      </w:r>
      <w:r>
        <w:rPr>
          <w:rFonts w:ascii="Arial" w:cs="Arial" w:eastAsia="Arial" w:hAnsi="Arial"/>
          <w:sz w:val="18"/>
          <w:szCs w:val="18"/>
          <w:color w:val="auto"/>
        </w:rPr>
        <w:t xml:space="preserve"> stock transaction. The acquisition will eliminate TMRC’s minority ownership interests in RTMD and establish us as the sole operator and 100% economic beneficiary of the “Round Top Project,” which consists of our operations and rights related to Round Top Mountain and the Round Top Mountain HREE metals deposit (the “Round Top Deposit”). The transaction is intended to secure full ownership control of the Round Top Project, and streamline operations, governance and decision-making.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transaction is valued at approximately $72.3 million based on the closing price of the Company’s common stock on March 4, 2026. The aggregate merger consideration consists of approximately 3.8 million shares of our common stock, with cash paid in lieu of fractional shares. The ultimate value of the consideration will depend on our stock price at closing. See Note 4, “Variable Interest Entity,” of the Notes for additional information regarding the TMRC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424180</wp:posOffset>
            </wp:positionV>
            <wp:extent cx="70465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completion of the merger is subject to customary closing conditions, including the affirmative vote of TMRC stockholders and the effectiveness of a registration statement on Form S-4, and there can be no assurance that the merger will be completed or that the anticipated operational, strategic, or financial benefits will be realized.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Share Conversion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our stock price met the requirement for the first tranche of earnout shares by trading at or above $15.00 per share for at least 20 out of 30 consecutive trading days. As a result, we issued 5.0 million shares of common stock to certain former shareholders of USA Rare Earth, LLC. The second tranche of 5.0 million earnout shares will become payable when our common stock price exceeds $20.00 per share for at least 20 out of 30 trading days.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Investment in Carester SAS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9, 2026, we entered into a binding letter of intent (the “Carester LOI”) to acquire a 12.5% equity interest in Carester SAS (“Carester”), the parent company of Caremag SAS (“Caremag”), for cash and equity consideration amounting to approximately $46.4 million. The initial proposed consideration consists of €28.3 million in cash, or approximately $32.9 million, and equity consideration of €11.7 million, or approximately $13.5 million, payable in shares of our common stock, in each case subject to customary adjustments, including the potential substitution of cash in lieu of our common stock.</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transaction is part of broader initiative, in partnership with Carester, the Government of France and InfraVia, to build an integrated value chain platform for rare earth processing, metal and alloy production and magnet making in Lacq, France. The platform will unite the technological expertise, process innovation, and production capacity of our manufacturing operations and those of Carester to accelerate development and strengthen our capabilities across the rare earth value chain. In parallel, USA Rare Earth, through Less Common Metals – Europe, is developing a 3,750 metric tons per year (“MTPA”) metal and alloy production facility at the same location. The partnership will create one of Europe’s most complete rare earth industrial ecosystems.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access to direct credits under the Government of France’s French C3IV program, which can potentially reimburse up to 45%, or a total of €130 million, of eligible equipment and real estate costs. We are engaged in ongoing discussions with French governmental entities and Bpifrance regarding potential additional financing support for Less Common Metals – Europe’s metallization and alloy facility through available export credit and guarantee programs. There can be no assurance that any such additional support will be obtained or on what terms it may be available.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proposed transaction is further subject to, among other things, the negotiation and execution of definitive agreements, receipt of applicable regulatory approvals, and the satisfaction of customary closing conditions and there can be no assurance that the transaction will be completed.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Acquisition of SVRE Holdings Ltd.</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19, 2026, we entered into a definitive agreement to acquire 100% of SVRE Holdings Ltd., the parent company of Serra Verde Group (“Serra Verde”), for a proposed consideration of approximately $2.83 billion, consisting of $300.0 million in cash and 126.8 million shares of our common stock, subject to customary adjustments. Serra Verde operates the Pela Ema rare earths project in Brazil and is currently in commercial production. The Pela Ema mine is unique as the only mine outside Asia currently capable of supplying all four magnetic REEs at scale, neodymium, praseodymium, dysprosium and terbium, together with other vital REEs, such as yttrium. This transformative acquisition creates what we believe will be the only fully integrated mine-to-magnet platform outside China, with active capabilities across mining, processing, separation, metallization and magnet making across three continents.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Serra Verde's strategic importance is further evidenced by its 15-year offtake agreement with a special purpose vehicle capitalized by the U.S. Government, which features contractual price floors covering 100% of Serra Verde's Phase 1 production of neodymium, praseodymium, dysprosium and terbium.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266065</wp:posOffset>
            </wp:positionV>
            <wp:extent cx="70465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this acquisition strengthens our U.S. and allied government relationships and provides multiple embedded growth opportunities, including a potential Phase 2 doubling of Pela Ema’s production capacity. The transaction also adds significant leadership depth through the expected appointment of Sir Mick Davis and Thrasyvoulos Moraitis to our Board upon closing, with Mr. Moraitis also serving as President of the combined company.</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transaction is subject to customary closing conditions, including receipt of shareholder approval and applicable regulatory approvals, and there can be no assurance that it will be completed.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Semiconductor Innovation Fund</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11, 2026, we entered into a Grant Agreement with the Office of the Governor of the State of Texas (the “OOG”) pursuant to the Texas Semiconductor Innovation Fund (“TSIF”), Grant No. TSIF 26-016P. Under the Grant Agreement, the OOG has agreed to reimburse us for certain allowable costs directly allocable to the Round Top Project, up to a maximum amount of $14.2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grant proceeds are intended to support the development of Round Top Mountain as a domestic source of heavy rare earth elements and select technology metals, including dysprosium, hafnium, terbium, and other elements essential for high-performance permanent magnets used in the aerospace, defense, semiconductors, data centers, physical AI, energy, mobility, healthcare, and numerous industrial sectors.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Grant funds are disbursed on a cost reimbursement basis only, and payment is dependent upon our strict compliance with the terms and conditions of the Grant Agreement, including applicable reporting, audit, and performance requirements. The Grant Agreement terminates upon the completion of the grant project, on December 31, 2028, or upon the depletion of grant funds, whichever occurs first.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Commissioned Phase 1A at our Stillwater Facility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commissioned the Phase 1a magnet manufacturing line at our Stillwater, Oklahoma manufacturing facility (“Stillwater Facility”). Commissioning of Phase 1a should enable us to begin fulfilling customer orders for sintered neodymium-iron-boron permanent magnets in the second quarter of 2026. Phase 1a is expected to ramp to a run rate capacity of 600 MTPA by the end of the fourth quarter of 2026. Phase 1a and Phase 1b magnet manufacturing lines at our Stillwater Facility are expected to bring the total capacity to 1,200 MTPA by the first quarter of 2027.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Commenced Expansion of Metal &amp; Alloy Capacity to Meet Growing Demand</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expand metal making and alloy capacity at our Less Common Metals facility to 3,000 MTPA by the end of 2026 due to increasing demand for higher internal magnet manufacturing capabilities and a widening third-party customer base. We have seen a significant interest in our pipeline for samarium-cobalt, neodymium-iron-boron and specialty alloys, fueled by third-party magnet manufacturers largely serving the aerospace, semiconductor, mobility, and consumer electronics sectors. Additionally, we are seeing heightened demand for specialized light rare earth elements (“LREE”), HREEs and other critical mineral metals, highlighting the broad product capabilities of our Less Common Metals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Fluor Corporation and WSP Global Inc. to Advance our Accelerated Mining Plan</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Fluor Corporation (“Fluor”) and WSP Global Inc. (“WSP”) were selected as engineering, procurement, and construction management (“EPCM”) partners for the build-out and commercialization of the Round Top Deposit. The combination of Fluor and WSP brings significant expertise across deposit geology, mine design and planning, and processing design, engineering, and construction. Fluor and WSP will also lead the authoring of the Round Top Preliminary Feasibility Study (“PFS”) that is expected to be published by the end of the third quarter of 2026, and the Definitive Feasibility Study (“DFS”) that is expected to be published in the first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426085</wp:posOffset>
            </wp:positionV>
            <wp:extent cx="70465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to Build a 3,750 MTPA Plant in Lacq, France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mentioned above, we plan to produce metal and alloy in Lacq, France, co-located with Carester’s Caremag oxide and recycling facility. Together, we believe this platform is intended to establish a comprehensive supply chain for rare earth processing, and metal and alloy production in Europe, and enhance our globally integrated rare earth value chain, from mine to magnet.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Sales and Distribution Agreement with Arnold Magnetic Technologies Corp.</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signed a mutual sales and distribution agreement with Arnold Magnetic Technologies Corp., a subsidiary of Compass Diversified (“Arnold”). Under this non-exclusive partnership, we will offer Arnold’s finished permanent magnets produced from samarium-cobalt and neodymium-iron-boron, and Arnold will offer to us processed and refined neodymium-iron-boron feedstock and finished magnets. We believe this agreement strengthens the domestic supply chain for mission-critical applications by expanding availability of U.S.-manufactured rare earth magnets.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Yttrium Metal Production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2026, we announced the first commercial pour of 2N–2N5 (99%–99.5% purity) yttrium metal through our Less Common Metals facility in Cheshire, United Kingdom. This milestone places us among a limited number of producers of commercial-grade yttrium metal operating outside of China. Yttrium is a key material in thermal barrier coatings used on turbine blades and other high-temperature aerospace components, where it enhances oxidation resistance and improves adhesion, helping extend component life under intense thermal and mechanical stress. Yttrium is also used in electronics, energy systems, lasers, superconductors, and advanced ceramics, where its chemical stability and high-temperature performance are essential.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discussion regarding our financial condition and results of operations for the three months ended March 31, 2026, compared to the three months ended March 31, 2025, is presented below. Our operating revenues and gross margins have been derived solely from our ownership of Less Common Metals since November 18, 2025, and we had no operating revenues or gross margin prior to November 18, 2025.</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rely on equity and other external financing to fund our business plans, including our magnet manufacturing facility located in Stillwater, Oklahoma (the “Stillwater Facility”); mineral exploration, evaluation, and development activities at the Round Top Project (collectively, “R&amp;D” costs); selling, general and administrative (“SG&amp;A”) expenses; interest expense; and other operating costs. Accordingly, we expect to incur operating losses until we achieve profitable commercial operations at our Stillwater Facility, the Round Top Project, and/or our Less Common Metals – Europe manufacturing facility located in Lacq, France.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Gross Profit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cost of sales, gross profit and gross margin for the period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46"/>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9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March 31, 2026</w:t>
            </w:r>
          </w:p>
        </w:tc>
      </w:tr>
      <w:tr>
        <w:trPr>
          <w:trHeight w:val="115"/>
        </w:trPr>
        <w:tc>
          <w:tcPr>
            <w:tcW w:w="9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ind w:right="46"/>
              <w:spacing w:after="0" w:line="115" w:lineRule="exact"/>
              <w:rPr>
                <w:sz w:val="20"/>
                <w:szCs w:val="20"/>
                <w:color w:val="auto"/>
              </w:rPr>
            </w:pPr>
            <w:r>
              <w:rPr>
                <w:rFonts w:ascii="Arial" w:cs="Arial" w:eastAsia="Arial" w:hAnsi="Arial"/>
                <w:sz w:val="13"/>
                <w:szCs w:val="13"/>
                <w:i w:val="1"/>
                <w:iCs w:val="1"/>
                <w:color w:val="auto"/>
                <w:w w:val="96"/>
              </w:rPr>
              <w:t>(In thousands, except for</w:t>
            </w:r>
          </w:p>
        </w:tc>
      </w:tr>
      <w:tr>
        <w:trPr>
          <w:trHeight w:val="164"/>
        </w:trPr>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46"/>
              <w:spacing w:after="0"/>
              <w:rPr>
                <w:sz w:val="20"/>
                <w:szCs w:val="20"/>
                <w:color w:val="auto"/>
              </w:rPr>
            </w:pPr>
            <w:r>
              <w:rPr>
                <w:rFonts w:ascii="Arial" w:cs="Arial" w:eastAsia="Arial" w:hAnsi="Arial"/>
                <w:sz w:val="13"/>
                <w:szCs w:val="13"/>
                <w:i w:val="1"/>
                <w:iCs w:val="1"/>
                <w:color w:val="auto"/>
                <w:w w:val="95"/>
              </w:rPr>
              <w:t>percentage)</w:t>
            </w:r>
          </w:p>
        </w:tc>
      </w:tr>
      <w:tr>
        <w:trPr>
          <w:trHeight w:val="25"/>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6"/>
        </w:trPr>
        <w:tc>
          <w:tcPr>
            <w:tcW w:w="9540" w:type="dxa"/>
            <w:vAlign w:val="bottom"/>
            <w:shd w:val="clear" w:color="auto" w:fill="BFE4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BFE4FF"/>
          </w:tcPr>
          <w:p>
            <w:pPr>
              <w:jc w:val="right"/>
              <w:ind w:right="126"/>
              <w:spacing w:after="0"/>
              <w:rPr>
                <w:sz w:val="20"/>
                <w:szCs w:val="20"/>
                <w:color w:val="auto"/>
              </w:rPr>
            </w:pPr>
            <w:r>
              <w:rPr>
                <w:rFonts w:ascii="Arial" w:cs="Arial" w:eastAsia="Arial" w:hAnsi="Arial"/>
                <w:sz w:val="16"/>
                <w:szCs w:val="16"/>
                <w:color w:val="auto"/>
              </w:rPr>
              <w:t>5,698</w:t>
            </w:r>
          </w:p>
        </w:tc>
      </w:tr>
      <w:tr>
        <w:trPr>
          <w:trHeight w:val="215"/>
        </w:trPr>
        <w:tc>
          <w:tcPr>
            <w:tcW w:w="954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5,592</w:t>
            </w:r>
          </w:p>
        </w:tc>
      </w:tr>
      <w:tr>
        <w:trPr>
          <w:trHeight w:val="217"/>
        </w:trPr>
        <w:tc>
          <w:tcPr>
            <w:tcW w:w="954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BFE4FF"/>
          </w:tcPr>
          <w:p>
            <w:pPr>
              <w:jc w:val="right"/>
              <w:ind w:right="126"/>
              <w:spacing w:after="0"/>
              <w:rPr>
                <w:sz w:val="20"/>
                <w:szCs w:val="20"/>
                <w:color w:val="auto"/>
              </w:rPr>
            </w:pPr>
            <w:r>
              <w:rPr>
                <w:rFonts w:ascii="Arial" w:cs="Arial" w:eastAsia="Arial" w:hAnsi="Arial"/>
                <w:sz w:val="16"/>
                <w:szCs w:val="16"/>
                <w:color w:val="auto"/>
              </w:rPr>
              <w:t>106</w:t>
            </w:r>
          </w:p>
        </w:tc>
      </w:tr>
      <w:tr>
        <w:trPr>
          <w:trHeight w:val="223"/>
        </w:trPr>
        <w:tc>
          <w:tcPr>
            <w:tcW w:w="9540" w:type="dxa"/>
            <w:vAlign w:val="bottom"/>
          </w:tcPr>
          <w:p>
            <w:pPr>
              <w:ind w:left="140"/>
              <w:spacing w:after="0"/>
              <w:rPr>
                <w:sz w:val="20"/>
                <w:szCs w:val="20"/>
                <w:color w:val="auto"/>
              </w:rPr>
            </w:pPr>
            <w:r>
              <w:rPr>
                <w:rFonts w:ascii="Arial" w:cs="Arial" w:eastAsia="Arial" w:hAnsi="Arial"/>
                <w:sz w:val="16"/>
                <w:szCs w:val="16"/>
                <w:color w:val="auto"/>
              </w:rPr>
              <w:t>Gross margin</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488315</wp:posOffset>
            </wp:positionV>
            <wp:extent cx="7046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2026 to the three months ended March 31, 2025</w:t>
      </w:r>
    </w:p>
    <w:p>
      <w:pPr>
        <w:spacing w:after="0" w:line="250"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Revenue was $5.7 million for the three months ended March 31, 2026, all of which was generated by Less Common Metals. Cost of revenue for the period was $5.6 million, resulting in gross profit of $ 0.1 million and a gross margin of 1.9%. The gross margin reflects the under</w:t>
      </w:r>
      <w:r>
        <w:rPr>
          <w:rFonts w:ascii="MS PGothic" w:cs="MS PGothic" w:eastAsia="MS PGothic" w:hAnsi="MS PGothic"/>
          <w:sz w:val="18"/>
          <w:szCs w:val="18"/>
          <w:color w:val="auto"/>
        </w:rPr>
        <w:t>‑</w:t>
      </w:r>
      <w:r>
        <w:rPr>
          <w:rFonts w:ascii="Arial" w:cs="Arial" w:eastAsia="Arial" w:hAnsi="Arial"/>
          <w:sz w:val="18"/>
          <w:szCs w:val="18"/>
          <w:color w:val="auto"/>
        </w:rPr>
        <w:t>absorption of fixed indirect manufacturing costs, including labor and facility</w:t>
      </w:r>
      <w:r>
        <w:rPr>
          <w:rFonts w:ascii="MS PGothic" w:cs="MS PGothic" w:eastAsia="MS PGothic" w:hAnsi="MS PGothic"/>
          <w:sz w:val="18"/>
          <w:szCs w:val="18"/>
          <w:color w:val="auto"/>
        </w:rPr>
        <w:t>‑</w:t>
      </w:r>
      <w:r>
        <w:rPr>
          <w:rFonts w:ascii="Arial" w:cs="Arial" w:eastAsia="Arial" w:hAnsi="Arial"/>
          <w:sz w:val="18"/>
          <w:szCs w:val="18"/>
          <w:color w:val="auto"/>
        </w:rPr>
        <w:t>related expenses, due to lower production volumes during the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Attributable to Primary Geographical Markets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24"/>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163"/>
        </w:trPr>
        <w:tc>
          <w:tcPr>
            <w:tcW w:w="2460" w:type="dxa"/>
            <w:vAlign w:val="bottom"/>
            <w:tcBorders>
              <w:top w:val="single" w:sz="8" w:color="auto"/>
            </w:tcBorders>
          </w:tcPr>
          <w:p>
            <w:pPr>
              <w:spacing w:after="0"/>
              <w:rPr>
                <w:sz w:val="14"/>
                <w:szCs w:val="14"/>
                <w:color w:val="auto"/>
              </w:rPr>
            </w:pPr>
          </w:p>
        </w:tc>
        <w:tc>
          <w:tcPr>
            <w:tcW w:w="7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124"/>
              <w:spacing w:after="0"/>
              <w:rPr>
                <w:sz w:val="20"/>
                <w:szCs w:val="20"/>
                <w:color w:val="auto"/>
              </w:rPr>
            </w:pPr>
            <w:r>
              <w:rPr>
                <w:rFonts w:ascii="Arial" w:cs="Arial" w:eastAsia="Arial" w:hAnsi="Arial"/>
                <w:sz w:val="13"/>
                <w:szCs w:val="13"/>
                <w:i w:val="1"/>
                <w:iCs w:val="1"/>
                <w:color w:val="auto"/>
                <w:w w:val="98"/>
              </w:rPr>
              <w:t>(In thousands)</w:t>
            </w:r>
          </w:p>
        </w:tc>
        <w:tc>
          <w:tcPr>
            <w:tcW w:w="0" w:type="dxa"/>
            <w:vAlign w:val="bottom"/>
          </w:tcPr>
          <w:p>
            <w:pPr>
              <w:spacing w:after="0"/>
              <w:rPr>
                <w:sz w:val="1"/>
                <w:szCs w:val="1"/>
                <w:color w:val="auto"/>
              </w:rPr>
            </w:pPr>
          </w:p>
        </w:tc>
      </w:tr>
      <w:tr>
        <w:trPr>
          <w:trHeight w:val="222"/>
        </w:trPr>
        <w:tc>
          <w:tcPr>
            <w:tcW w:w="96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BFE4FF"/>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FE4FF"/>
          </w:tcPr>
          <w:p>
            <w:pPr>
              <w:jc w:val="right"/>
              <w:ind w:right="4"/>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5"/>
        </w:trPr>
        <w:tc>
          <w:tcPr>
            <w:tcW w:w="9660" w:type="dxa"/>
            <w:vAlign w:val="bottom"/>
            <w:gridSpan w:val="2"/>
          </w:tcPr>
          <w:p>
            <w:pPr>
              <w:ind w:left="20"/>
              <w:spacing w:after="0"/>
              <w:rPr>
                <w:sz w:val="20"/>
                <w:szCs w:val="20"/>
                <w:color w:val="auto"/>
              </w:rPr>
            </w:pPr>
            <w:r>
              <w:rPr>
                <w:rFonts w:ascii="Arial" w:cs="Arial" w:eastAsia="Arial" w:hAnsi="Arial"/>
                <w:sz w:val="16"/>
                <w:szCs w:val="16"/>
                <w:color w:val="auto"/>
              </w:rPr>
              <w:t>Europe</w:t>
            </w:r>
          </w:p>
        </w:tc>
        <w:tc>
          <w:tcPr>
            <w:tcW w:w="20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4,519</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Asia</w:t>
            </w:r>
          </w:p>
        </w:tc>
        <w:tc>
          <w:tcPr>
            <w:tcW w:w="200" w:type="dxa"/>
            <w:vAlign w:val="bottom"/>
            <w:tcBorders>
              <w:bottom w:val="single" w:sz="8" w:color="auto"/>
            </w:tcBorders>
            <w:shd w:val="clear" w:color="auto" w:fill="BFE4FF"/>
          </w:tcPr>
          <w:p>
            <w:pPr>
              <w:spacing w:after="0"/>
              <w:rPr>
                <w:sz w:val="18"/>
                <w:szCs w:val="18"/>
                <w:color w:val="auto"/>
              </w:rPr>
            </w:pPr>
          </w:p>
        </w:tc>
        <w:tc>
          <w:tcPr>
            <w:tcW w:w="1380" w:type="dxa"/>
            <w:vAlign w:val="bottom"/>
            <w:tcBorders>
              <w:bottom w:val="single" w:sz="8" w:color="auto"/>
            </w:tcBorders>
            <w:shd w:val="clear" w:color="auto" w:fill="BFE4FF"/>
          </w:tcPr>
          <w:p>
            <w:pPr>
              <w:jc w:val="right"/>
              <w:ind w:right="4"/>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7"/>
        </w:trPr>
        <w:tc>
          <w:tcPr>
            <w:tcW w:w="9660" w:type="dxa"/>
            <w:vAlign w:val="bottom"/>
            <w:gridSpan w:val="2"/>
          </w:tcPr>
          <w:p>
            <w:pPr>
              <w:ind w:left="1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5,698</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our results of operations and the amount of change between the periods indicated. The period-to-period comparison of financial results is not necessarily indicative of future results.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9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r>
      <w:tr>
        <w:trPr>
          <w:trHeight w:val="158"/>
        </w:trPr>
        <w:tc>
          <w:tcPr>
            <w:tcW w:w="9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6"/>
          </w:tcPr>
          <w:p>
            <w:pPr>
              <w:ind w:left="40"/>
              <w:spacing w:after="0"/>
              <w:rPr>
                <w:sz w:val="20"/>
                <w:szCs w:val="20"/>
                <w:color w:val="auto"/>
              </w:rPr>
            </w:pPr>
            <w:r>
              <w:rPr>
                <w:rFonts w:ascii="Arial" w:cs="Arial" w:eastAsia="Arial" w:hAnsi="Arial"/>
                <w:sz w:val="13"/>
                <w:szCs w:val="13"/>
                <w:i w:val="1"/>
                <w:iCs w:val="1"/>
                <w:color w:val="auto"/>
              </w:rPr>
              <w:t>(In thousands, except for percentages)</w:t>
            </w:r>
          </w:p>
        </w:tc>
        <w:tc>
          <w:tcPr>
            <w:tcW w:w="820" w:type="dxa"/>
            <w:vAlign w:val="bottom"/>
          </w:tcPr>
          <w:p>
            <w:pPr>
              <w:spacing w:after="0"/>
              <w:rPr>
                <w:sz w:val="13"/>
                <w:szCs w:val="13"/>
                <w:color w:val="auto"/>
              </w:rPr>
            </w:pPr>
          </w:p>
        </w:tc>
      </w:tr>
      <w:tr>
        <w:trPr>
          <w:trHeight w:val="228"/>
        </w:trPr>
        <w:tc>
          <w:tcPr>
            <w:tcW w:w="568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568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21,175</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7,029</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14,146</w:t>
            </w:r>
          </w:p>
        </w:tc>
        <w:tc>
          <w:tcPr>
            <w:tcW w:w="200" w:type="dxa"/>
            <w:vAlign w:val="bottom"/>
            <w:shd w:val="clear" w:color="auto" w:fill="BFE4FF"/>
          </w:tcPr>
          <w:p>
            <w:pPr>
              <w:spacing w:after="0"/>
              <w:rPr>
                <w:sz w:val="18"/>
                <w:szCs w:val="18"/>
                <w:color w:val="auto"/>
              </w:rPr>
            </w:pPr>
          </w:p>
        </w:tc>
        <w:tc>
          <w:tcPr>
            <w:tcW w:w="82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201.3%</w:t>
            </w: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12,560</w:t>
            </w:r>
          </w:p>
        </w:tc>
        <w:tc>
          <w:tcPr>
            <w:tcW w:w="20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NM</w:t>
            </w:r>
          </w:p>
        </w:tc>
      </w:tr>
      <w:tr>
        <w:trPr>
          <w:trHeight w:val="217"/>
        </w:trPr>
        <w:tc>
          <w:tcPr>
            <w:tcW w:w="568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300" w:type="dxa"/>
            <w:vAlign w:val="bottom"/>
            <w:gridSpan w:val="2"/>
            <w:shd w:val="clear" w:color="auto" w:fill="BFE4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1,357</w:t>
            </w:r>
          </w:p>
        </w:tc>
        <w:tc>
          <w:tcPr>
            <w:tcW w:w="200" w:type="dxa"/>
            <w:vAlign w:val="bottom"/>
            <w:shd w:val="clear" w:color="auto" w:fill="BFE4FF"/>
          </w:tcPr>
          <w:p>
            <w:pPr>
              <w:spacing w:after="0"/>
              <w:rPr>
                <w:sz w:val="18"/>
                <w:szCs w:val="18"/>
                <w:color w:val="auto"/>
              </w:rPr>
            </w:pPr>
          </w:p>
        </w:tc>
        <w:tc>
          <w:tcPr>
            <w:tcW w:w="82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rPr>
              <w:t>NM</w:t>
            </w:r>
          </w:p>
        </w:tc>
      </w:tr>
      <w:tr>
        <w:trPr>
          <w:trHeight w:val="203"/>
        </w:trPr>
        <w:tc>
          <w:tcPr>
            <w:tcW w:w="5680" w:type="dxa"/>
            <w:vAlign w:val="bottom"/>
            <w:gridSpan w:val="2"/>
          </w:tcPr>
          <w:p>
            <w:pPr>
              <w:ind w:left="2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36,781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28,063</w:t>
            </w:r>
          </w:p>
        </w:tc>
        <w:tc>
          <w:tcPr>
            <w:tcW w:w="20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321.9%</w:t>
            </w:r>
          </w:p>
        </w:tc>
      </w:tr>
      <w:tr>
        <w:trPr>
          <w:trHeight w:val="472"/>
        </w:trPr>
        <w:tc>
          <w:tcPr>
            <w:tcW w:w="56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(expense) income, net</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568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Interest and dividend income</w:t>
            </w: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11,970</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11,783</w:t>
            </w:r>
          </w:p>
        </w:tc>
        <w:tc>
          <w:tcPr>
            <w:tcW w:w="200" w:type="dxa"/>
            <w:vAlign w:val="bottom"/>
            <w:shd w:val="clear" w:color="auto" w:fill="BFE4FF"/>
          </w:tcPr>
          <w:p>
            <w:pPr>
              <w:spacing w:after="0"/>
              <w:rPr>
                <w:sz w:val="18"/>
                <w:szCs w:val="18"/>
                <w:color w:val="auto"/>
              </w:rPr>
            </w:pPr>
          </w:p>
        </w:tc>
        <w:tc>
          <w:tcPr>
            <w:tcW w:w="82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rPr>
              <w:t>NM</w:t>
            </w: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Grant income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w:t>
            </w:r>
          </w:p>
        </w:tc>
        <w:tc>
          <w:tcPr>
            <w:tcW w:w="20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NM</w:t>
            </w:r>
          </w:p>
        </w:tc>
      </w:tr>
      <w:tr>
        <w:trPr>
          <w:trHeight w:val="217"/>
        </w:trPr>
        <w:tc>
          <w:tcPr>
            <w:tcW w:w="568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(Loss) gain on fair market value of financial instruments, net</w:t>
            </w:r>
          </w:p>
        </w:tc>
        <w:tc>
          <w:tcPr>
            <w:tcW w:w="32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(43,553)</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60,300</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(103,853)</w:t>
            </w:r>
          </w:p>
        </w:tc>
        <w:tc>
          <w:tcPr>
            <w:tcW w:w="200" w:type="dxa"/>
            <w:vAlign w:val="bottom"/>
            <w:shd w:val="clear" w:color="auto" w:fill="BFE4FF"/>
          </w:tcPr>
          <w:p>
            <w:pPr>
              <w:spacing w:after="0"/>
              <w:rPr>
                <w:sz w:val="18"/>
                <w:szCs w:val="18"/>
                <w:color w:val="auto"/>
              </w:rPr>
            </w:pPr>
          </w:p>
        </w:tc>
        <w:tc>
          <w:tcPr>
            <w:tcW w:w="82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(172.2)%</w:t>
            </w:r>
          </w:p>
        </w:tc>
      </w:tr>
      <w:tr>
        <w:trPr>
          <w:trHeight w:val="215"/>
        </w:trPr>
        <w:tc>
          <w:tcPr>
            <w:tcW w:w="5680" w:type="dxa"/>
            <w:vAlign w:val="bottom"/>
            <w:tcBorders>
              <w:bottom w:val="single" w:sz="8" w:color="BFE4FF"/>
            </w:tcBorders>
            <w:gridSpan w:val="2"/>
          </w:tcPr>
          <w:p>
            <w:pPr>
              <w:ind w:left="140"/>
              <w:spacing w:after="0"/>
              <w:rPr>
                <w:sz w:val="20"/>
                <w:szCs w:val="20"/>
                <w:color w:val="auto"/>
              </w:rPr>
            </w:pPr>
            <w:r>
              <w:rPr>
                <w:rFonts w:ascii="Arial" w:cs="Arial" w:eastAsia="Arial" w:hAnsi="Arial"/>
                <w:sz w:val="16"/>
                <w:szCs w:val="16"/>
                <w:color w:val="auto"/>
              </w:rPr>
              <w:t>Interest expense and other loss, net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Borders>
              <w:bottom w:val="single" w:sz="8" w:color="BFE4FF"/>
            </w:tcBorders>
          </w:tcPr>
          <w:p>
            <w:pPr>
              <w:spacing w:after="0"/>
              <w:rPr>
                <w:sz w:val="18"/>
                <w:szCs w:val="18"/>
                <w:color w:val="auto"/>
              </w:rPr>
            </w:pPr>
          </w:p>
        </w:tc>
        <w:tc>
          <w:tcPr>
            <w:tcW w:w="820" w:type="dxa"/>
            <w:vAlign w:val="bottom"/>
            <w:tcBorders>
              <w:bottom w:val="single" w:sz="8" w:color="BFE4FF"/>
            </w:tcBorders>
          </w:tcPr>
          <w:p>
            <w:pPr>
              <w:jc w:val="right"/>
              <w:ind w:right="259"/>
              <w:spacing w:after="0"/>
              <w:rPr>
                <w:sz w:val="20"/>
                <w:szCs w:val="20"/>
                <w:color w:val="auto"/>
              </w:rPr>
            </w:pPr>
            <w:r>
              <w:rPr>
                <w:rFonts w:ascii="Arial" w:cs="Arial" w:eastAsia="Arial" w:hAnsi="Arial"/>
                <w:sz w:val="16"/>
                <w:szCs w:val="16"/>
                <w:color w:val="auto"/>
              </w:rPr>
              <w:t>NM</w:t>
            </w:r>
          </w:p>
        </w:tc>
      </w:tr>
      <w:tr>
        <w:trPr>
          <w:trHeight w:val="217"/>
        </w:trPr>
        <w:tc>
          <w:tcPr>
            <w:tcW w:w="5680" w:type="dxa"/>
            <w:vAlign w:val="bottom"/>
            <w:tcBorders>
              <w:bottom w:val="single" w:sz="8" w:color="BFE4FF"/>
            </w:tcBorders>
            <w:gridSpan w:val="2"/>
            <w:shd w:val="clear" w:color="auto" w:fill="BFE4FF"/>
          </w:tcPr>
          <w:p>
            <w:pPr>
              <w:ind w:left="240"/>
              <w:spacing w:after="0"/>
              <w:rPr>
                <w:sz w:val="20"/>
                <w:szCs w:val="20"/>
                <w:color w:val="auto"/>
              </w:rPr>
            </w:pPr>
            <w:r>
              <w:rPr>
                <w:rFonts w:ascii="Arial" w:cs="Arial" w:eastAsia="Arial" w:hAnsi="Arial"/>
                <w:sz w:val="16"/>
                <w:szCs w:val="16"/>
                <w:color w:val="auto"/>
              </w:rPr>
              <w:t>Total other (expense) income, net</w:t>
            </w:r>
          </w:p>
        </w:tc>
        <w:tc>
          <w:tcPr>
            <w:tcW w:w="32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(31,970)</w:t>
            </w:r>
          </w:p>
        </w:tc>
        <w:tc>
          <w:tcPr>
            <w:tcW w:w="100" w:type="dxa"/>
            <w:vAlign w:val="bottom"/>
            <w:tcBorders>
              <w:bottom w:val="single" w:sz="8" w:color="BFE4FF"/>
            </w:tcBorders>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60,400</w:t>
            </w:r>
          </w:p>
        </w:tc>
        <w:tc>
          <w:tcPr>
            <w:tcW w:w="100" w:type="dxa"/>
            <w:vAlign w:val="bottom"/>
            <w:tcBorders>
              <w:bottom w:val="single" w:sz="8" w:color="BFE4FF"/>
            </w:tcBorders>
            <w:shd w:val="clear" w:color="auto" w:fill="BFE4FF"/>
          </w:tcPr>
          <w:p>
            <w:pPr>
              <w:spacing w:after="0"/>
              <w:rPr>
                <w:sz w:val="18"/>
                <w:szCs w:val="18"/>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(92,370)</w:t>
            </w:r>
          </w:p>
        </w:tc>
        <w:tc>
          <w:tcPr>
            <w:tcW w:w="200" w:type="dxa"/>
            <w:vAlign w:val="bottom"/>
            <w:tcBorders>
              <w:bottom w:val="single" w:sz="8" w:color="BFE4FF"/>
            </w:tcBorders>
            <w:shd w:val="clear" w:color="auto" w:fill="BFE4FF"/>
          </w:tcPr>
          <w:p>
            <w:pPr>
              <w:spacing w:after="0"/>
              <w:rPr>
                <w:sz w:val="18"/>
                <w:szCs w:val="18"/>
                <w:color w:val="auto"/>
              </w:rPr>
            </w:pPr>
          </w:p>
        </w:tc>
        <w:tc>
          <w:tcPr>
            <w:tcW w:w="82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(152.9)%</w:t>
            </w:r>
          </w:p>
        </w:tc>
      </w:tr>
      <w:tr>
        <w:trPr>
          <w:trHeight w:val="95"/>
        </w:trPr>
        <w:tc>
          <w:tcPr>
            <w:tcW w:w="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94"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6"/>
          <w:szCs w:val="16"/>
          <w:color w:val="auto"/>
        </w:rPr>
        <w:t>Not meaningful.</w:t>
      </w:r>
    </w:p>
    <w:p>
      <w:pPr>
        <w:spacing w:after="0" w:line="213"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SG&amp;A expenses increased by $14.1 million, primarily due to higher legal and consulting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$4.7 million related to merger and acquisition activities, increased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of $4.2 million, and higher employee</w:t>
      </w:r>
      <w:r>
        <w:rPr>
          <w:rFonts w:ascii="MS PGothic" w:cs="MS PGothic" w:eastAsia="MS PGothic" w:hAnsi="MS PGothic"/>
          <w:sz w:val="18"/>
          <w:szCs w:val="18"/>
          <w:color w:val="auto"/>
        </w:rPr>
        <w:t>‑</w:t>
      </w:r>
      <w:r>
        <w:rPr>
          <w:rFonts w:ascii="Arial" w:cs="Arial" w:eastAsia="Arial" w:hAnsi="Arial"/>
          <w:sz w:val="18"/>
          <w:szCs w:val="18"/>
          <w:color w:val="auto"/>
        </w:rPr>
        <w:t>related costs of $3.1 million associated with increased headcount as we expanded our organizational infrastructure. The increase was further driven by other costs of $2.1 million.</w:t>
      </w:r>
    </w:p>
    <w:p>
      <w:pPr>
        <w:spacing w:after="0" w:line="220"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R&amp;D expenses increased by $12.6 million, primarily due to higher development costs of $5.4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employee</w:t>
      </w:r>
      <w:r>
        <w:rPr>
          <w:rFonts w:ascii="MS PGothic" w:cs="MS PGothic" w:eastAsia="MS PGothic" w:hAnsi="MS PGothic"/>
          <w:sz w:val="18"/>
          <w:szCs w:val="18"/>
          <w:color w:val="auto"/>
        </w:rPr>
        <w:t>‑</w:t>
      </w:r>
      <w:r>
        <w:rPr>
          <w:rFonts w:ascii="Arial" w:cs="Arial" w:eastAsia="Arial" w:hAnsi="Arial"/>
          <w:sz w:val="18"/>
          <w:szCs w:val="18"/>
          <w:color w:val="auto"/>
        </w:rPr>
        <w:t>related costs of $3.7 million, reflecting higher headcount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 increase was further driven by legal costs of $1.8 million, facility and insurance costs of $0.6 million, and other costs of $1.1 million.</w:t>
      </w:r>
    </w:p>
    <w:p>
      <w:pPr>
        <w:spacing w:after="0" w:line="2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increased by $1.4 million due to intangible assets acquired in connection with the acquisition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Metals.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263525</wp:posOffset>
            </wp:positionV>
            <wp:extent cx="70465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61" w:lineRule="exact"/>
        <w:rPr>
          <w:sz w:val="20"/>
          <w:szCs w:val="20"/>
          <w:color w:val="auto"/>
        </w:rPr>
      </w:pPr>
    </w:p>
    <w:p>
      <w:pPr>
        <w:ind w:left="660" w:right="640" w:hanging="328"/>
        <w:spacing w:after="0" w:line="281"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Interest and dividend income </w:t>
      </w:r>
      <w:r>
        <w:rPr>
          <w:rFonts w:ascii="Arial" w:cs="Arial" w:eastAsia="Arial" w:hAnsi="Arial"/>
          <w:sz w:val="18"/>
          <w:szCs w:val="18"/>
          <w:color w:val="auto"/>
        </w:rPr>
        <w:t>increased by $11.8 million, primarily due to higher average balances in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and government funds.</w:t>
      </w:r>
    </w:p>
    <w:p>
      <w:pPr>
        <w:spacing w:after="0" w:line="1" w:lineRule="exact"/>
        <w:rPr>
          <w:rFonts w:ascii="Arial" w:cs="Arial" w:eastAsia="Arial" w:hAnsi="Arial"/>
          <w:sz w:val="18"/>
          <w:szCs w:val="18"/>
          <w:color w:val="auto"/>
        </w:rPr>
      </w:pPr>
    </w:p>
    <w:p>
      <w:pPr>
        <w:jc w:val="both"/>
        <w:ind w:left="660" w:right="660" w:hanging="328"/>
        <w:spacing w:after="0" w:line="224" w:lineRule="exact"/>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Grant income </w:t>
      </w:r>
      <w:r>
        <w:rPr>
          <w:rFonts w:ascii="Arial" w:cs="Arial" w:eastAsia="Arial" w:hAnsi="Arial"/>
          <w:sz w:val="18"/>
          <w:szCs w:val="18"/>
          <w:color w:val="auto"/>
        </w:rPr>
        <w:t>increased by $0.2 million, reflecting grant revenue generated by Less Common Metals, which was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18, 2025. Grant income for the current period includes only post</w:t>
      </w:r>
      <w:r>
        <w:rPr>
          <w:rFonts w:ascii="MS PGothic" w:cs="MS PGothic" w:eastAsia="MS PGothic" w:hAnsi="MS PGothic"/>
          <w:sz w:val="18"/>
          <w:szCs w:val="18"/>
          <w:color w:val="auto"/>
        </w:rPr>
        <w:t>‑</w:t>
      </w:r>
      <w:r>
        <w:rPr>
          <w:rFonts w:ascii="Arial" w:cs="Arial" w:eastAsia="Arial" w:hAnsi="Arial"/>
          <w:sz w:val="18"/>
          <w:szCs w:val="18"/>
          <w:color w:val="auto"/>
        </w:rPr>
        <w:t>acquisition activity, whereas the prior period did not include any grant income from this business.</w:t>
      </w:r>
    </w:p>
    <w:p>
      <w:pPr>
        <w:spacing w:after="0" w:line="31" w:lineRule="exact"/>
        <w:rPr>
          <w:rFonts w:ascii="Arial" w:cs="Arial" w:eastAsia="Arial" w:hAnsi="Arial"/>
          <w:sz w:val="18"/>
          <w:szCs w:val="18"/>
          <w:color w:val="auto"/>
        </w:rPr>
      </w:pPr>
    </w:p>
    <w:p>
      <w:pPr>
        <w:jc w:val="both"/>
        <w:ind w:left="660" w:right="660" w:hanging="328"/>
        <w:spacing w:after="0" w:line="262"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(Loss) gain on fair market value of financial instruments, net </w:t>
      </w:r>
      <w:r>
        <w:rPr>
          <w:rFonts w:ascii="Arial" w:cs="Arial" w:eastAsia="Arial" w:hAnsi="Arial"/>
          <w:sz w:val="18"/>
          <w:szCs w:val="18"/>
          <w:color w:val="auto"/>
        </w:rPr>
        <w:t>change was a loss of $103.9 million, primarily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prices, which increased the fair value losses related to the earnout shares and Series A Warrants issued in connection with the business combination with USA Rare Earth, LLC by $89.8 million and $13.2 million, respectively, partially offset by warrant exercises. See Note 2, “Fair Value Measurements,” of the Notes for additional information.</w:t>
      </w:r>
    </w:p>
    <w:p>
      <w:pPr>
        <w:spacing w:after="0" w:line="14" w:lineRule="exact"/>
        <w:rPr>
          <w:rFonts w:ascii="Arial" w:cs="Arial" w:eastAsia="Arial" w:hAnsi="Arial"/>
          <w:sz w:val="18"/>
          <w:szCs w:val="18"/>
          <w:color w:val="auto"/>
        </w:rPr>
      </w:pPr>
    </w:p>
    <w:p>
      <w:pPr>
        <w:jc w:val="both"/>
        <w:ind w:left="660" w:right="660" w:hanging="328"/>
        <w:spacing w:after="0" w:line="268"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and other loss, net </w:t>
      </w:r>
      <w:r>
        <w:rPr>
          <w:rFonts w:ascii="Arial" w:cs="Arial" w:eastAsia="Arial" w:hAnsi="Arial"/>
          <w:sz w:val="18"/>
          <w:szCs w:val="18"/>
          <w:color w:val="auto"/>
        </w:rPr>
        <w:t>primarily reflects unrealized loss on money market funds, unrealized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interest expense on the Barclays Bank PLC trade cycle loan facility previously entered into by Less Common Metals, which was repaid in full, including accrued interest, and cancelled during the first quarter of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7"/>
        </w:trPr>
        <w:tc>
          <w:tcPr>
            <w:tcW w:w="9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7"/>
                <w:szCs w:val="17"/>
                <w:color w:val="auto"/>
              </w:rPr>
            </w:pPr>
          </w:p>
        </w:tc>
      </w:tr>
      <w:tr>
        <w:trPr>
          <w:trHeight w:val="164"/>
        </w:trPr>
        <w:tc>
          <w:tcPr>
            <w:tcW w:w="9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40" w:type="dxa"/>
            <w:vAlign w:val="bottom"/>
            <w:gridSpan w:val="8"/>
          </w:tcPr>
          <w:p>
            <w:pPr>
              <w:ind w:left="20"/>
              <w:spacing w:after="0"/>
              <w:rPr>
                <w:sz w:val="20"/>
                <w:szCs w:val="20"/>
                <w:color w:val="auto"/>
              </w:rPr>
            </w:pPr>
            <w:r>
              <w:rPr>
                <w:rFonts w:ascii="Arial" w:cs="Arial" w:eastAsia="Arial" w:hAnsi="Arial"/>
                <w:sz w:val="13"/>
                <w:szCs w:val="13"/>
                <w:i w:val="1"/>
                <w:iCs w:val="1"/>
                <w:color w:val="auto"/>
              </w:rPr>
              <w:t>(In thousands, except percentages and basis points)</w:t>
            </w:r>
          </w:p>
        </w:tc>
        <w:tc>
          <w:tcPr>
            <w:tcW w:w="880" w:type="dxa"/>
            <w:vAlign w:val="bottom"/>
          </w:tcPr>
          <w:p>
            <w:pPr>
              <w:spacing w:after="0"/>
              <w:rPr>
                <w:sz w:val="14"/>
                <w:szCs w:val="14"/>
                <w:color w:val="auto"/>
              </w:rPr>
            </w:pPr>
          </w:p>
        </w:tc>
      </w:tr>
      <w:tr>
        <w:trPr>
          <w:trHeight w:val="222"/>
        </w:trPr>
        <w:tc>
          <w:tcPr>
            <w:tcW w:w="536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(68,645)</w:t>
            </w:r>
          </w:p>
        </w:tc>
        <w:tc>
          <w:tcPr>
            <w:tcW w:w="580" w:type="dxa"/>
            <w:vAlign w:val="bottom"/>
            <w:gridSpan w:val="3"/>
            <w:shd w:val="clear" w:color="auto" w:fill="BFE4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BFE4FF"/>
          </w:tcPr>
          <w:p>
            <w:pPr>
              <w:jc w:val="right"/>
              <w:ind w:right="121"/>
              <w:spacing w:after="0"/>
              <w:rPr>
                <w:sz w:val="20"/>
                <w:szCs w:val="20"/>
                <w:color w:val="auto"/>
              </w:rPr>
            </w:pPr>
            <w:r>
              <w:rPr>
                <w:rFonts w:ascii="Arial" w:cs="Arial" w:eastAsia="Arial" w:hAnsi="Arial"/>
                <w:sz w:val="16"/>
                <w:szCs w:val="16"/>
                <w:color w:val="auto"/>
              </w:rPr>
              <w:t>51,682</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(120,327)</w:t>
            </w:r>
          </w:p>
        </w:tc>
        <w:tc>
          <w:tcPr>
            <w:tcW w:w="220" w:type="dxa"/>
            <w:vAlign w:val="bottom"/>
            <w:shd w:val="clear" w:color="auto" w:fill="BFE4FF"/>
          </w:tcPr>
          <w:p>
            <w:pPr>
              <w:spacing w:after="0"/>
              <w:rPr>
                <w:sz w:val="19"/>
                <w:szCs w:val="19"/>
                <w:color w:val="auto"/>
              </w:rPr>
            </w:pPr>
          </w:p>
        </w:tc>
        <w:tc>
          <w:tcPr>
            <w:tcW w:w="88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232.8%</w:t>
            </w:r>
          </w:p>
        </w:tc>
      </w:tr>
      <w:tr>
        <w:trPr>
          <w:trHeight w:val="215"/>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Benefit from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96"/>
              </w:rPr>
              <w:t>NM</w:t>
            </w:r>
          </w:p>
        </w:tc>
      </w:tr>
      <w:tr>
        <w:trPr>
          <w:trHeight w:val="217"/>
        </w:trPr>
        <w:tc>
          <w:tcPr>
            <w:tcW w:w="5360" w:type="dxa"/>
            <w:vAlign w:val="bottom"/>
            <w:tcBorders>
              <w:top w:val="single" w:sz="8" w:color="BFE4FF"/>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Effective tax rate</w:t>
            </w:r>
          </w:p>
        </w:tc>
        <w:tc>
          <w:tcPr>
            <w:tcW w:w="340" w:type="dxa"/>
            <w:vAlign w:val="bottom"/>
            <w:tcBorders>
              <w:top w:val="single" w:sz="8" w:color="auto"/>
              <w:bottom w:val="single" w:sz="8" w:color="auto"/>
            </w:tcBorders>
            <w:shd w:val="clear" w:color="auto" w:fill="BFE4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BFE4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360" w:type="dxa"/>
            <w:vAlign w:val="bottom"/>
            <w:tcBorders>
              <w:top w:val="single" w:sz="8" w:color="auto"/>
              <w:bottom w:val="single" w:sz="8" w:color="auto"/>
            </w:tcBorders>
            <w:shd w:val="clear" w:color="auto" w:fill="BFE4FF"/>
          </w:tcPr>
          <w:p>
            <w:pPr>
              <w:spacing w:after="0"/>
              <w:rPr>
                <w:sz w:val="18"/>
                <w:szCs w:val="18"/>
                <w:color w:val="auto"/>
              </w:rPr>
            </w:pPr>
          </w:p>
        </w:tc>
        <w:tc>
          <w:tcPr>
            <w:tcW w:w="1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300" w:type="dxa"/>
            <w:vAlign w:val="bottom"/>
            <w:tcBorders>
              <w:top w:val="single" w:sz="8" w:color="auto"/>
              <w:bottom w:val="single" w:sz="8" w:color="auto"/>
            </w:tcBorders>
            <w:shd w:val="clear" w:color="auto" w:fill="BFE4FF"/>
          </w:tcPr>
          <w:p>
            <w:pPr>
              <w:spacing w:after="0"/>
              <w:rPr>
                <w:sz w:val="18"/>
                <w:szCs w:val="18"/>
                <w:color w:val="auto"/>
              </w:rPr>
            </w:pPr>
          </w:p>
        </w:tc>
        <w:tc>
          <w:tcPr>
            <w:tcW w:w="1140" w:type="dxa"/>
            <w:vAlign w:val="bottom"/>
            <w:tcBorders>
              <w:top w:val="single" w:sz="8" w:color="auto"/>
              <w:bottom w:val="single" w:sz="8" w:color="auto"/>
            </w:tcBorders>
            <w:shd w:val="clear" w:color="auto" w:fill="BFE4FF"/>
          </w:tcPr>
          <w:p>
            <w:pPr>
              <w:jc w:val="right"/>
              <w:ind w:right="401"/>
              <w:spacing w:after="0"/>
              <w:rPr>
                <w:sz w:val="20"/>
                <w:szCs w:val="20"/>
                <w:color w:val="auto"/>
              </w:rPr>
            </w:pPr>
            <w:r>
              <w:rPr>
                <w:rFonts w:ascii="Arial" w:cs="Arial" w:eastAsia="Arial" w:hAnsi="Arial"/>
                <w:sz w:val="16"/>
                <w:szCs w:val="16"/>
                <w:color w:val="auto"/>
              </w:rPr>
              <w:t>80 bps</w:t>
            </w:r>
          </w:p>
        </w:tc>
        <w:tc>
          <w:tcPr>
            <w:tcW w:w="220" w:type="dxa"/>
            <w:vAlign w:val="bottom"/>
            <w:tcBorders>
              <w:top w:val="single" w:sz="8" w:color="BFE4FF"/>
              <w:bottom w:val="single" w:sz="8" w:color="BFE4FF"/>
            </w:tcBorders>
            <w:shd w:val="clear" w:color="auto" w:fill="BFE4FF"/>
          </w:tcPr>
          <w:p>
            <w:pPr>
              <w:spacing w:after="0"/>
              <w:rPr>
                <w:sz w:val="18"/>
                <w:szCs w:val="18"/>
                <w:color w:val="auto"/>
              </w:rPr>
            </w:pPr>
          </w:p>
        </w:tc>
        <w:tc>
          <w:tcPr>
            <w:tcW w:w="880" w:type="dxa"/>
            <w:vAlign w:val="bottom"/>
            <w:tcBorders>
              <w:top w:val="single" w:sz="8" w:color="BFE4FF"/>
              <w:bottom w:val="single" w:sz="8" w:color="BFE4FF"/>
            </w:tcBorders>
            <w:shd w:val="clear" w:color="auto" w:fill="BFE4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81"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6"/>
          <w:szCs w:val="16"/>
          <w:color w:val="auto"/>
        </w:rPr>
        <w:t>Not meaningful.</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The change of $577 thousand was primarily attributable to the forecasted taxable activities of our Less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Metals subsidiary following the acquisition on November 18, 2025.</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Effective tax rate. </w:t>
      </w:r>
      <w:r>
        <w:rPr>
          <w:rFonts w:ascii="Arial" w:cs="Arial" w:eastAsia="Arial" w:hAnsi="Arial"/>
          <w:sz w:val="18"/>
          <w:szCs w:val="18"/>
          <w:color w:val="auto"/>
        </w:rPr>
        <w:t>Our effective tax rate of 0.8% for the three months ended March 31, 2026 was affected by changes in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recurring permanent differences and discrete items that may occur in any given year, but are not necessarily consistent from year to year.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We are an early</w:t>
      </w:r>
      <w:r>
        <w:rPr>
          <w:rFonts w:ascii="MS PGothic" w:cs="MS PGothic" w:eastAsia="MS PGothic" w:hAnsi="MS PGothic"/>
          <w:sz w:val="18"/>
          <w:szCs w:val="18"/>
          <w:color w:val="auto"/>
        </w:rPr>
        <w:t>‑</w:t>
      </w:r>
      <w:r>
        <w:rPr>
          <w:rFonts w:ascii="Arial" w:cs="Arial" w:eastAsia="Arial" w:hAnsi="Arial"/>
          <w:sz w:val="18"/>
          <w:szCs w:val="18"/>
          <w:color w:val="auto"/>
        </w:rPr>
        <w:t>stage company with a limited operating history. Our 2026 revenues were derived solely from our Less Common Metals operations following the acquisition of Less Common Metals Ltd. on November 18, 2025, and we have not yet generated revenues from neo magnet manufacturing or mineral production at the Stillwater Facility. As we expand our production capacity, we expect to incur significant operating expenses without generating sufficient revenues to cover these expenditures.</w:t>
      </w:r>
    </w:p>
    <w:p>
      <w:pPr>
        <w:spacing w:after="0" w:line="182"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We believe that our existing cash and cash equivalents will be sufficient to fund our planned near</w:t>
      </w:r>
      <w:r>
        <w:rPr>
          <w:rFonts w:ascii="MS PGothic" w:cs="MS PGothic" w:eastAsia="MS PGothic" w:hAnsi="MS PGothic"/>
          <w:sz w:val="18"/>
          <w:szCs w:val="18"/>
          <w:color w:val="auto"/>
        </w:rPr>
        <w:t>‑</w:t>
      </w:r>
      <w:r>
        <w:rPr>
          <w:rFonts w:ascii="Arial" w:cs="Arial" w:eastAsia="Arial" w:hAnsi="Arial"/>
          <w:sz w:val="18"/>
          <w:szCs w:val="18"/>
          <w:color w:val="auto"/>
        </w:rPr>
        <w:t>term operating and capital expenditure requirements for at least the next twelve months. However, our long</w:t>
      </w:r>
      <w:r>
        <w:rPr>
          <w:rFonts w:ascii="MS PGothic" w:cs="MS PGothic" w:eastAsia="MS PGothic" w:hAnsi="MS PGothic"/>
          <w:sz w:val="18"/>
          <w:szCs w:val="18"/>
          <w:color w:val="auto"/>
        </w:rPr>
        <w:t>‑</w:t>
      </w:r>
      <w:r>
        <w:rPr>
          <w:rFonts w:ascii="Arial" w:cs="Arial" w:eastAsia="Arial" w:hAnsi="Arial"/>
          <w:sz w:val="18"/>
          <w:szCs w:val="18"/>
          <w:color w:val="auto"/>
        </w:rPr>
        <w:t>term capital requirements, particularly those associated with the full development of the Round Top Project, the build</w:t>
      </w:r>
      <w:r>
        <w:rPr>
          <w:rFonts w:ascii="MS PGothic" w:cs="MS PGothic" w:eastAsia="MS PGothic" w:hAnsi="MS PGothic"/>
          <w:sz w:val="18"/>
          <w:szCs w:val="18"/>
          <w:color w:val="auto"/>
        </w:rPr>
        <w:t>‑</w:t>
      </w:r>
      <w:r>
        <w:rPr>
          <w:rFonts w:ascii="Arial" w:cs="Arial" w:eastAsia="Arial" w:hAnsi="Arial"/>
          <w:sz w:val="18"/>
          <w:szCs w:val="18"/>
          <w:color w:val="auto"/>
        </w:rPr>
        <w:t>out of the Stillwater Facility, and the build-out of the Less Common Metals – Europe manufacturing facility are expected to exceed our current resources, and we will require additional capital to fund these long</w:t>
      </w:r>
      <w:r>
        <w:rPr>
          <w:rFonts w:ascii="MS PGothic" w:cs="MS PGothic" w:eastAsia="MS PGothic" w:hAnsi="MS PGothic"/>
          <w:sz w:val="18"/>
          <w:szCs w:val="18"/>
          <w:color w:val="auto"/>
        </w:rPr>
        <w:t>‑</w:t>
      </w:r>
      <w:r>
        <w:rPr>
          <w:rFonts w:ascii="Arial" w:cs="Arial" w:eastAsia="Arial" w:hAnsi="Arial"/>
          <w:sz w:val="18"/>
          <w:szCs w:val="18"/>
          <w:color w:val="auto"/>
        </w:rPr>
        <w:t>term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429260</wp:posOffset>
            </wp:positionV>
            <wp:extent cx="70465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we expect to incur significant future cash outflows related to strategic investments, acquisitions, and the continued development of our operating and manufacturing assets. These cash requirements may include consideration payable in connection with potential acquisitions or investments, transaction</w:t>
      </w:r>
      <w:r>
        <w:rPr>
          <w:rFonts w:ascii="MS PGothic" w:cs="MS PGothic" w:eastAsia="MS PGothic" w:hAnsi="MS PGothic"/>
          <w:sz w:val="18"/>
          <w:szCs w:val="18"/>
          <w:color w:val="auto"/>
        </w:rPr>
        <w:t>‑</w:t>
      </w:r>
      <w:r>
        <w:rPr>
          <w:rFonts w:ascii="Arial" w:cs="Arial" w:eastAsia="Arial" w:hAnsi="Arial"/>
          <w:sz w:val="18"/>
          <w:szCs w:val="18"/>
          <w:color w:val="auto"/>
        </w:rPr>
        <w:t>related costs, and capital expenditures associated with the development of the Round Top Project, the development of the Stillwater Facility, and the development of the Less Common Metals – Europe facility. The timing and amount of such expenditures will depend on the progression of these transactions and projects and the satisfaction of applicable conditions.</w:t>
      </w:r>
    </w:p>
    <w:p>
      <w:pPr>
        <w:spacing w:after="0" w:line="22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also intend to pursue potential sources of financing to support these initiatives, including equity financings and debt financings. As discussed elsewhere in this Quarterly Report on Form 10-Q, as part of the Expected U.S. Government Transaction, we have entered into a non</w:t>
      </w:r>
      <w:r>
        <w:rPr>
          <w:rFonts w:ascii="MS PGothic" w:cs="MS PGothic" w:eastAsia="MS PGothic" w:hAnsi="MS PGothic"/>
          <w:sz w:val="18"/>
          <w:szCs w:val="18"/>
          <w:color w:val="auto"/>
        </w:rPr>
        <w:t>‑</w:t>
      </w:r>
      <w:r>
        <w:rPr>
          <w:rFonts w:ascii="Arial" w:cs="Arial" w:eastAsia="Arial" w:hAnsi="Arial"/>
          <w:sz w:val="18"/>
          <w:szCs w:val="18"/>
          <w:color w:val="auto"/>
        </w:rPr>
        <w:t>binding letter of intent with the U.S. Department of Commerce relating to potential equity funding under the CHIPS Act and related debt financing and a non-binding letter of intent with the U.S. Department of Energy; however, any such funding remains subject to the negotiation and execution of definitive agreements, final government approvals and the satisfaction of numerous conditions and milestones. In addition, to meet certain milestones to obtain funding awards and debt financing to reimburse us for our capital expenditures under the Expected U.S. Government Transaction, and to execute on our current business plan, including the acquisition of Serra Verde and the expansion of facilities for our operations, we will be required to raise a significant amount of capital during 2026 and 2027 and establish a $250.0 million revolving credit facility by December 31, 2026. There can be no assurance that any government funding or other funding will be obtained, or as to the timing or amount of any proceeds.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raise additional capital on acceptable terms, whether through equity or government funding, is subject to market conditions, our operational progress, and our ability to satisfy applicable milestones and conditions, and there can be no assurance that such additional capital will be available on acceptable terms or at all. In addition, if the Expected U.S. Government Transaction is consummated, we would be precluded from issuing additional debt to raise capital, other than the government senior secured loan contemplated thereunder.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primary sources of liquidity have consisted of equity financing. For the three months ended March 31, 2026, we had a net loss of $68.1 million, which included a non-cash fair value loss on financial instruments of $ 43.6 million. Net cash used in operating activities during the period was $18.5 million. As of March 31, 2026, we had $1.75 billion in cash and cash equivalents.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Outside of revenue generated from our Less Common Metals subsidiary, our operations in the United States have not yet generated revenues from neo magnet manufacturing or critical mineral production, and we expect to continue to use cash in our consolidated operating activities for the foreseeable future as we invest in commercializing our integrated mine-to-magnet platform. Our primary near-term uses of cash include:</w:t>
      </w:r>
    </w:p>
    <w:p>
      <w:pPr>
        <w:spacing w:after="0" w:line="203" w:lineRule="exact"/>
        <w:rPr>
          <w:sz w:val="20"/>
          <w:szCs w:val="20"/>
          <w:color w:val="auto"/>
        </w:rPr>
      </w:pPr>
    </w:p>
    <w:p>
      <w:pPr>
        <w:ind w:left="660" w:right="660" w:hanging="328"/>
        <w:spacing w:after="0" w:line="281"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Stillwater Facility development – completing the installation and qualification of sintered NdFeB permanent magnet production lines, procuring feedstock, and ramping toward initial commercial production;</w:t>
      </w:r>
    </w:p>
    <w:p>
      <w:pPr>
        <w:spacing w:after="0" w:line="1" w:lineRule="exact"/>
        <w:rPr>
          <w:rFonts w:ascii="Arial" w:cs="Arial" w:eastAsia="Arial" w:hAnsi="Arial"/>
          <w:sz w:val="18"/>
          <w:szCs w:val="18"/>
          <w:color w:val="auto"/>
        </w:rPr>
      </w:pPr>
    </w:p>
    <w:p>
      <w:pPr>
        <w:ind w:left="660" w:right="640" w:hanging="328"/>
        <w:spacing w:after="0" w:line="281"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Common Metals expansion – expanding the current manufacturing site in Cheshire, United Kingdom and expanding the Less Common Metals – Europe manufacturing site in Lacq, France.</w:t>
      </w:r>
    </w:p>
    <w:p>
      <w:pPr>
        <w:spacing w:after="0" w:line="1" w:lineRule="exact"/>
        <w:rPr>
          <w:rFonts w:ascii="Arial" w:cs="Arial" w:eastAsia="Arial" w:hAnsi="Arial"/>
          <w:sz w:val="18"/>
          <w:szCs w:val="18"/>
          <w:color w:val="auto"/>
        </w:rPr>
      </w:pPr>
    </w:p>
    <w:p>
      <w:pPr>
        <w:jc w:val="both"/>
        <w:ind w:left="660" w:right="640" w:hanging="328"/>
        <w:spacing w:after="0" w:line="268"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Round Top Project advancement – funding the ongoing Preliminary Feasibility Study, constructing and operating the demonstration facility, and advancing toward a Definitive Feasibility Study and, ultimately, mine construction; a portion of these costs are expected to be funded through the TSIF Grant Agreement described below; and</w:t>
      </w:r>
    </w:p>
    <w:p>
      <w:pPr>
        <w:spacing w:after="0" w:line="8" w:lineRule="exact"/>
        <w:rPr>
          <w:rFonts w:ascii="Arial" w:cs="Arial" w:eastAsia="Arial" w:hAnsi="Arial"/>
          <w:sz w:val="18"/>
          <w:szCs w:val="18"/>
          <w:color w:val="auto"/>
        </w:rPr>
      </w:pPr>
    </w:p>
    <w:p>
      <w:pPr>
        <w:ind w:left="660" w:right="660" w:hanging="328"/>
        <w:spacing w:after="0" w:line="287"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corporate and administrative expenses – supporting our growing operations, including personnel, legal, regulatory, and compliance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408940</wp:posOffset>
            </wp:positionV>
            <wp:extent cx="7046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longer term, we expect that developing the Round Top Project into a producing mine and expanding the Stillwater Facility to its full planned capacity will require substantial additional capital expenditures beyond our current cash on hand. We have not yet determined the full scope or timing of such expenditures, as they depend on the outcomes of ongoing feasibility studies at Round Top Mountain and the negotiation and execution of agreements with the U.S. Department of Commerce as part of the Expected U.S. Government Transaction. Accordingly, we expect total capital requirements to be significant, and our ability to fund these initiatives will depend on continued access to additional financing, primarily through equity or government funding sources.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$1.50 Billion Private Investment In Public Equity. </w:t>
      </w:r>
      <w:r>
        <w:rPr>
          <w:rFonts w:ascii="Arial" w:cs="Arial" w:eastAsia="Arial" w:hAnsi="Arial"/>
          <w:sz w:val="18"/>
          <w:szCs w:val="18"/>
          <w:color w:val="auto"/>
        </w:rPr>
        <w:t>On January 28, 2026, we completed the $1.50 billion PIPE financing. The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strengthened our liquidity position and provides additional capital to support our operations, strategic initiatives, and general corporate purposes.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Expected U.S. Government Transaction</w:t>
      </w:r>
      <w:r>
        <w:rPr>
          <w:rFonts w:ascii="Arial" w:cs="Arial" w:eastAsia="Arial" w:hAnsi="Arial"/>
          <w:sz w:val="18"/>
          <w:szCs w:val="18"/>
          <w:color w:val="auto"/>
        </w:rPr>
        <w:t>. If consummated, the Expected U.S. Government Transaction would represent a significant new</w:t>
      </w:r>
      <w:r>
        <w:rPr>
          <w:rFonts w:ascii="Arial" w:cs="Arial" w:eastAsia="Arial" w:hAnsi="Arial"/>
          <w:sz w:val="18"/>
          <w:szCs w:val="18"/>
          <w:i w:val="1"/>
          <w:iCs w:val="1"/>
          <w:color w:val="auto"/>
        </w:rPr>
        <w:t xml:space="preserve"> </w:t>
      </w:r>
      <w:r>
        <w:rPr>
          <w:rFonts w:ascii="Arial" w:cs="Arial" w:eastAsia="Arial" w:hAnsi="Arial"/>
          <w:sz w:val="18"/>
          <w:szCs w:val="18"/>
          <w:color w:val="auto"/>
        </w:rPr>
        <w:t>source of long-term capital. However, the addition of $1.30 billion in long-term senior secured debt would introduce substantial debt service obligations and leverage into our capital structure. Additionally, consummation of the transaction would require us to issue approximately 16.1 million shares of common stock and warrants representing approximately 17.5 million additional shares at an exercise price of $17.17 per share, each resulting in dilution to existing stockholders. Funding to reimburse us for our capital expenditures would be disbursed in tranches tied to specified milestones, and there can be no assurance that any funding will be received.</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Investment in Carester SAS. </w:t>
      </w:r>
      <w:r>
        <w:rPr>
          <w:rFonts w:ascii="Arial" w:cs="Arial" w:eastAsia="Arial" w:hAnsi="Arial"/>
          <w:sz w:val="18"/>
          <w:szCs w:val="18"/>
          <w:color w:val="auto"/>
        </w:rPr>
        <w:t>The proposed Carester investment has an aggregate estimated value of €40.0 million, or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$46.4 million. Upon consummation of the transaction, the proposed investment would require a cash payment of € 28.3 million, representing a near</w:t>
      </w:r>
      <w:r>
        <w:rPr>
          <w:rFonts w:ascii="MS PGothic" w:cs="MS PGothic" w:eastAsia="MS PGothic" w:hAnsi="MS PGothic"/>
          <w:sz w:val="18"/>
          <w:szCs w:val="18"/>
          <w:color w:val="auto"/>
        </w:rPr>
        <w:t>‑</w:t>
      </w:r>
      <w:r>
        <w:rPr>
          <w:rFonts w:ascii="Arial" w:cs="Arial" w:eastAsia="Arial" w:hAnsi="Arial"/>
          <w:sz w:val="18"/>
          <w:szCs w:val="18"/>
          <w:color w:val="auto"/>
        </w:rPr>
        <w:t>term cash outflow with an estimated U.S. dollar value of approximately $32.9 million based on an assumed exchange rate, which may fluctuate prior to closing. The remaining consideration consists of equity consideration of €11.7 million, with an estimated U.S. dollar value of approximately $13.5 million, to be settled through the issuance of shares of our common stock, subject to customary adjustments, including the potential substitution of cash in lieu of our common stock.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Acquisition of SVRE Holdings Ltd. </w:t>
      </w:r>
      <w:r>
        <w:rPr>
          <w:rFonts w:ascii="Arial" w:cs="Arial" w:eastAsia="Arial" w:hAnsi="Arial"/>
          <w:sz w:val="18"/>
          <w:szCs w:val="18"/>
          <w:color w:val="auto"/>
        </w:rPr>
        <w:t>The Serra Verde acquisition, when completed, would require payment of $300.0 million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representing a significant near-term cash obligation. The remaining approximately $2.53 billion in consideration would be settled through the issuance of 126.8 million shares of our common stock, resulting in substantial dilution to existing stockholders.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Texas Semiconductor Innovation Fund</w:t>
      </w:r>
      <w:r>
        <w:rPr>
          <w:rFonts w:ascii="Arial" w:cs="Arial" w:eastAsia="Arial" w:hAnsi="Arial"/>
          <w:sz w:val="18"/>
          <w:szCs w:val="18"/>
          <w:color w:val="auto"/>
        </w:rPr>
        <w:t>. The TSIF Grant Agreement provides for reimbursement of certain allowable costs directly allocable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Round Top Project up to a maximum amount of $14.2 million. Grant funds are disbursed on a cost reimbursement basis only and are subject to our strict compliance with the terms and conditions of the Grant Agreement.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Facility and Equipment Leases. </w:t>
      </w:r>
      <w:r>
        <w:rPr>
          <w:rFonts w:ascii="Arial" w:cs="Arial" w:eastAsia="Arial" w:hAnsi="Arial"/>
          <w:sz w:val="18"/>
          <w:szCs w:val="18"/>
          <w:color w:val="auto"/>
        </w:rPr>
        <w:t>We lease facilities and equipment under fixed noncancelable operating leases that expire on various dates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fiscal year 2030. See Note 5, “Commitments and Contingencies – Leases,” of the Notes for additional information related to our fixed noncancelable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420370</wp:posOffset>
            </wp:positionV>
            <wp:extent cx="7046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r>
      <w:tr>
        <w:trPr>
          <w:trHeight w:val="193"/>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423"/>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0"/>
        </w:trPr>
        <w:tc>
          <w:tcPr>
            <w:tcW w:w="666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(18,456)</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(10,329)</w:t>
            </w:r>
          </w:p>
        </w:tc>
        <w:tc>
          <w:tcPr>
            <w:tcW w:w="3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(8,127)</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(38,641)</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(3,050)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(35,591)</w:t>
            </w:r>
          </w:p>
        </w:tc>
      </w:tr>
      <w:tr>
        <w:trPr>
          <w:trHeight w:val="217"/>
        </w:trPr>
        <w:tc>
          <w:tcPr>
            <w:tcW w:w="666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shd w:val="clear" w:color="auto" w:fill="BFE4FF"/>
          </w:tcPr>
          <w:p>
            <w:pPr>
              <w:spacing w:after="0"/>
              <w:rPr>
                <w:sz w:val="18"/>
                <w:szCs w:val="18"/>
                <w:color w:val="auto"/>
              </w:rPr>
            </w:pPr>
          </w:p>
        </w:tc>
        <w:tc>
          <w:tcPr>
            <w:tcW w:w="1280" w:type="dxa"/>
            <w:vAlign w:val="bottom"/>
            <w:shd w:val="clear" w:color="auto" w:fill="BFE4FF"/>
          </w:tcPr>
          <w:p>
            <w:pPr>
              <w:jc w:val="right"/>
              <w:ind w:right="23"/>
              <w:spacing w:after="0"/>
              <w:rPr>
                <w:sz w:val="20"/>
                <w:szCs w:val="20"/>
                <w:color w:val="auto"/>
              </w:rPr>
            </w:pPr>
            <w:r>
              <w:rPr>
                <w:rFonts w:ascii="Arial" w:cs="Arial" w:eastAsia="Arial" w:hAnsi="Arial"/>
                <w:sz w:val="16"/>
                <w:szCs w:val="16"/>
                <w:color w:val="auto"/>
              </w:rPr>
              <w:t>1,447,146</w:t>
            </w:r>
          </w:p>
        </w:tc>
        <w:tc>
          <w:tcPr>
            <w:tcW w:w="180" w:type="dxa"/>
            <w:vAlign w:val="bottom"/>
            <w:shd w:val="clear" w:color="auto" w:fill="BFE4FF"/>
          </w:tcPr>
          <w:p>
            <w:pPr>
              <w:spacing w:after="0"/>
              <w:rPr>
                <w:sz w:val="18"/>
                <w:szCs w:val="18"/>
                <w:color w:val="auto"/>
              </w:rPr>
            </w:pPr>
          </w:p>
        </w:tc>
        <w:tc>
          <w:tcPr>
            <w:tcW w:w="1460" w:type="dxa"/>
            <w:vAlign w:val="bottom"/>
            <w:shd w:val="clear" w:color="auto" w:fill="BFE4FF"/>
          </w:tcPr>
          <w:p>
            <w:pPr>
              <w:jc w:val="right"/>
              <w:ind w:right="3"/>
              <w:spacing w:after="0"/>
              <w:rPr>
                <w:sz w:val="20"/>
                <w:szCs w:val="20"/>
                <w:color w:val="auto"/>
              </w:rPr>
            </w:pPr>
            <w:r>
              <w:rPr>
                <w:rFonts w:ascii="Arial" w:cs="Arial" w:eastAsia="Arial" w:hAnsi="Arial"/>
                <w:sz w:val="16"/>
                <w:szCs w:val="16"/>
                <w:color w:val="auto"/>
              </w:rPr>
              <w:t>19,969</w:t>
            </w:r>
          </w:p>
        </w:tc>
        <w:tc>
          <w:tcPr>
            <w:tcW w:w="32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1,427,177</w:t>
            </w:r>
          </w:p>
        </w:tc>
      </w:tr>
    </w:tbl>
    <w:p>
      <w:pPr>
        <w:spacing w:after="0" w:line="279"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increased by $8.1 million compared to the comparable prior</w:t>
      </w:r>
      <w:r>
        <w:rPr>
          <w:rFonts w:ascii="MS PGothic" w:cs="MS PGothic" w:eastAsia="MS PGothic" w:hAnsi="MS PGothic"/>
          <w:sz w:val="18"/>
          <w:szCs w:val="18"/>
          <w:color w:val="auto"/>
        </w:rPr>
        <w:t>‑</w:t>
      </w:r>
      <w:r>
        <w:rPr>
          <w:rFonts w:ascii="Arial" w:cs="Arial" w:eastAsia="Arial" w:hAnsi="Arial"/>
          <w:sz w:val="18"/>
          <w:szCs w:val="18"/>
          <w:color w:val="auto"/>
        </w:rPr>
        <w:t>year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non-cash adjustments were primarily driven by:</w:t>
      </w:r>
    </w:p>
    <w:p>
      <w:pPr>
        <w:spacing w:after="0" w:line="2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$103.9 million non-cash loss related to the increase in the fair value of our earnout and warrant liabilities;</w:t>
      </w:r>
    </w:p>
    <w:p>
      <w:pPr>
        <w:spacing w:after="0" w:line="31"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$3.7 million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million increase in depreciation and amortization, due primarily to acquisition-related property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operating assets and liabilities were primarily driven by:</w:t>
      </w:r>
    </w:p>
    <w:p>
      <w:pPr>
        <w:spacing w:after="0" w:line="252" w:lineRule="exact"/>
        <w:rPr>
          <w:sz w:val="20"/>
          <w:szCs w:val="20"/>
          <w:color w:val="auto"/>
        </w:rPr>
      </w:pPr>
    </w:p>
    <w:p>
      <w:pPr>
        <w:ind w:left="660" w:right="660" w:hanging="328"/>
        <w:spacing w:after="0" w:line="281"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accounts receivable and inventory, due primarily to the addition of Less Common Metals’ receivables and inventory balances following the acquisition of Less Common Metals on November 18, 2025;</w:t>
      </w:r>
    </w:p>
    <w:p>
      <w:pPr>
        <w:spacing w:after="0" w:line="1" w:lineRule="exact"/>
        <w:rPr>
          <w:rFonts w:ascii="Arial" w:cs="Arial" w:eastAsia="Arial" w:hAnsi="Arial"/>
          <w:sz w:val="18"/>
          <w:szCs w:val="18"/>
          <w:color w:val="auto"/>
        </w:rPr>
      </w:pPr>
    </w:p>
    <w:p>
      <w:pPr>
        <w:ind w:left="660" w:right="660" w:hanging="328"/>
        <w:spacing w:after="0" w:line="263"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accounts payable, due primarily to capital expenditures associated with the build-out of the Stillwater Facility and the timing of vendor payments; and</w:t>
      </w:r>
    </w:p>
    <w:p>
      <w:pPr>
        <w:spacing w:after="0" w:line="1" w:lineRule="exact"/>
        <w:rPr>
          <w:rFonts w:ascii="Arial" w:cs="Arial" w:eastAsia="Arial" w:hAnsi="Arial"/>
          <w:sz w:val="18"/>
          <w:szCs w:val="18"/>
          <w:color w:val="auto"/>
        </w:rPr>
      </w:pPr>
    </w:p>
    <w:p>
      <w:pPr>
        <w:ind w:left="660" w:right="660" w:hanging="328"/>
        <w:spacing w:after="0" w:line="243" w:lineRule="exact"/>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accrued expenses, due primarily to higher acquisition</w:t>
      </w:r>
      <w:r>
        <w:rPr>
          <w:rFonts w:ascii="MS PGothic" w:cs="MS PGothic" w:eastAsia="MS PGothic" w:hAnsi="MS PGothic"/>
          <w:sz w:val="18"/>
          <w:szCs w:val="18"/>
          <w:color w:val="auto"/>
        </w:rPr>
        <w:t>‑</w:t>
      </w:r>
      <w:r>
        <w:rPr>
          <w:rFonts w:ascii="Arial" w:cs="Arial" w:eastAsia="Arial" w:hAnsi="Arial"/>
          <w:sz w:val="18"/>
          <w:szCs w:val="18"/>
          <w:color w:val="auto"/>
        </w:rPr>
        <w:t>related legal and consulting costs and asset retirement obligation costs associated with the Less Common Metals leased property in Cheshire, United Kingdom.</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used in investing activities increased by $35.6 million compared to the comparable prior-year period,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capital expenditures to build out our manufacturing process at our Stillwater Facility.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increased by $1.43 billion compared to the comparable prior-year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proceeds from the $1.50 billion private investment in public equity financing, net of transaction costs, completed in January 2026, partially offset by the repayment of the Barclays Bank PLC trade cycle loan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than as described in this Quarterly Report, we do not have any other off-balance sheet arrangements that have, or are reasonably likely to have, a material current or future effect on our financial condition, changes in financial condition, revenues, expenses, results of operations, liquidity, capital expenditures or capital resources. See Note 5, “Commitments and Contingencies”, of the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 and Other Commitments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we enter into purchase orders with vendors for manufacturing and research and development equipment and with suppliers for inventory used in the manufacture of our products. Capital equipment purchase orders are generally non-cancelable due to long lead times and generally relate to forecasted equipment needs for our Phase 1a and 2a manufacturing line expansions and facility construction, and research and development activities at RTMD. Inventory purchase orders are generally fulfilled within one year of the order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426085</wp:posOffset>
            </wp:positionV>
            <wp:extent cx="70465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Condensed Consolidated Financial Statements are prepared in accordance with U.S. GAAP and require management to make estimates, assumptions, and judgments that affect the reported amounts of assets and liabilities and results of operations. Actual results could differ materially from these estimates.</w:t>
      </w:r>
    </w:p>
    <w:p>
      <w:pPr>
        <w:spacing w:after="0" w:line="198"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Significant estimates include goodwill and other intangible assets arising from business combinations, asset and liability valuations, including earnout and warrant liabilities, deferred taxes and related valuation allowances, and other fair value measurements. </w:t>
      </w:r>
      <w:hyperlink r:id="rId89">
        <w:r>
          <w:rPr>
            <w:rFonts w:ascii="Arial" w:cs="Arial" w:eastAsia="Arial" w:hAnsi="Arial"/>
            <w:sz w:val="18"/>
            <w:szCs w:val="18"/>
            <w:color w:val="auto"/>
          </w:rPr>
          <w:t xml:space="preserve">See Note </w:t>
        </w:r>
      </w:hyperlink>
      <w:r>
        <w:rPr>
          <w:rFonts w:ascii="Arial" w:cs="Arial" w:eastAsia="Arial" w:hAnsi="Arial"/>
          <w:sz w:val="18"/>
          <w:szCs w:val="18"/>
          <w:color w:val="auto"/>
        </w:rPr>
        <w:t>1, “Organization – Significant Accounting Policies” in the Notes to the Consolidated Financial Statements included in our 2025 Annual Report for a description of our critical and other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discussion of certain recent accounting pronouncements, see Note 1, “Organization – Significant Accounting Policies – Recently Issued Accounting Pronouncements Not Yet Adopted,” of the Notes.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disclosure controls and procedures as defined under Rules 13a-15(e) and 15d-15(e) of the Securities Exchange Act of 1934, as amended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(“CEO”) and Chief Financial Officer (“CFO”), as appropriate, to allow timely decisions regarding required disclosure.</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as defined in Exchange Act Rules 13a-15(e) and 15d-15(e) as of March 31, 2026. Based on that evaluation, our CEO and CFO concluded that as of such date, our disclosure controls and procedures were effective to provide reasonable assurance that the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management as appropriate to allow for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first quarter ended March 31, 2026 that have materially affected, or are reasonably likely to materially affect, our internal control over financial reporting.</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our controls and procedures will detect all errors or fraud. A control system, no matter how well conceived and operated, can provide only reasonable, not absolute, assurance that objectives of the control system will be attained.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420370</wp:posOffset>
            </wp:positionV>
            <wp:extent cx="7046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USA Rare Earth, Inc. | Q1'2026 Quarterly Report (Form 10-Q) </w:t>
      </w:r>
      <w:r>
        <w:rPr>
          <w:rFonts w:ascii="Arial" w:cs="Arial" w:eastAsia="Arial" w:hAnsi="Arial"/>
          <w:sz w:val="17"/>
          <w:szCs w:val="17"/>
          <w:color w:val="auto"/>
        </w:rPr>
        <w:t>|</w:t>
      </w:r>
      <w:r>
        <w:rPr>
          <w:rFonts w:ascii="Arial" w:cs="Arial" w:eastAsia="Arial" w:hAnsi="Arial"/>
          <w:sz w:val="17"/>
          <w:szCs w:val="17"/>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required with respect to this item can be found in Note 5, “Commitments and Contingencies–Litigation” of the Notes and is incorporated by reference into this Item 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7" w:lineRule="exact"/>
        <w:rPr>
          <w:sz w:val="20"/>
          <w:szCs w:val="20"/>
          <w:color w:val="auto"/>
        </w:rPr>
      </w:pPr>
    </w:p>
    <w:p>
      <w:pPr>
        <w:jc w:val="both"/>
        <w:ind w:right="2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Factors that could cause the Company’s actual results to differ materially from those in this report include the risk factors described in the Company’s 2025 </w:t>
      </w:r>
      <w:hyperlink r:id="rId89">
        <w:r>
          <w:rPr>
            <w:rFonts w:ascii="Arial" w:cs="Arial" w:eastAsia="Arial" w:hAnsi="Arial"/>
            <w:sz w:val="18"/>
            <w:szCs w:val="18"/>
            <w:color w:val="auto"/>
          </w:rPr>
          <w:t>Annual Report on Form 10-</w:t>
        </w:r>
      </w:hyperlink>
      <w:r>
        <w:rPr>
          <w:rFonts w:ascii="Arial" w:cs="Arial" w:eastAsia="Arial" w:hAnsi="Arial"/>
          <w:sz w:val="18"/>
          <w:szCs w:val="18"/>
          <w:color w:val="auto"/>
        </w:rPr>
        <w:t>K, filed with the Securities and Exchange Commission (“SEC”) on March 30, 2026.</w:t>
      </w:r>
    </w:p>
    <w:p>
      <w:pPr>
        <w:spacing w:after="0" w:line="180" w:lineRule="exact"/>
        <w:rPr>
          <w:sz w:val="20"/>
          <w:szCs w:val="20"/>
          <w:color w:val="auto"/>
        </w:rPr>
      </w:pPr>
    </w:p>
    <w:p>
      <w:pPr>
        <w:jc w:val="both"/>
        <w:ind w:right="20"/>
        <w:spacing w:after="0" w:line="268" w:lineRule="auto"/>
        <w:rPr>
          <w:rFonts w:ascii="Arial" w:cs="Arial" w:eastAsia="Arial" w:hAnsi="Arial"/>
          <w:sz w:val="18"/>
          <w:szCs w:val="18"/>
          <w:color w:val="auto"/>
        </w:rPr>
      </w:pPr>
      <w:hyperlink r:id="rId92">
        <w:r>
          <w:rPr>
            <w:rFonts w:ascii="Arial" w:cs="Arial" w:eastAsia="Arial" w:hAnsi="Arial"/>
            <w:sz w:val="18"/>
            <w:szCs w:val="18"/>
            <w:color w:val="auto"/>
          </w:rPr>
          <w:t>As of the date of this Quarterly Report on Form 10-Q, other than as set out in Exhibit 99.1 to the Company’s Current Report on Form 8-K,</w:t>
        </w:r>
      </w:hyperlink>
      <w:r>
        <w:rPr>
          <w:rFonts w:ascii="Arial" w:cs="Arial" w:eastAsia="Arial" w:hAnsi="Arial"/>
          <w:sz w:val="18"/>
          <w:szCs w:val="18"/>
          <w:color w:val="auto"/>
        </w:rPr>
        <w:t xml:space="preserve"> </w:t>
      </w:r>
      <w:hyperlink r:id="rId92">
        <w:r>
          <w:rPr>
            <w:rFonts w:ascii="Arial" w:cs="Arial" w:eastAsia="Arial" w:hAnsi="Arial"/>
            <w:sz w:val="18"/>
            <w:szCs w:val="18"/>
            <w:color w:val="auto"/>
          </w:rPr>
          <w:t>filed with the SEC on May 13, 2026 (which is incorporated by reference herein), there have been no material changes to the risk factors</w:t>
        </w:r>
      </w:hyperlink>
      <w:r>
        <w:rPr>
          <w:rFonts w:ascii="Arial" w:cs="Arial" w:eastAsia="Arial" w:hAnsi="Arial"/>
          <w:sz w:val="18"/>
          <w:szCs w:val="18"/>
          <w:color w:val="auto"/>
        </w:rPr>
        <w:t xml:space="preserve"> disclosed in the Company’s 2025 </w:t>
      </w:r>
      <w:hyperlink r:id="rId89">
        <w:r>
          <w:rPr>
            <w:rFonts w:ascii="Arial" w:cs="Arial" w:eastAsia="Arial" w:hAnsi="Arial"/>
            <w:sz w:val="18"/>
            <w:szCs w:val="18"/>
            <w:color w:val="auto"/>
          </w:rPr>
          <w:t>Annual Report on Form 10-K.</w:t>
        </w:r>
      </w:hyperlink>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61"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hyperlink r:id="rId93">
        <w:r>
          <w:rPr>
            <w:rFonts w:ascii="Arial" w:cs="Arial" w:eastAsia="Arial" w:hAnsi="Arial"/>
            <w:sz w:val="18"/>
            <w:szCs w:val="18"/>
            <w:color w:val="auto"/>
          </w:rPr>
          <w:t>Information required by this Item 2 has been previously reported on the Company’s Current Report on Form 8-K filed with the SEC on</w:t>
        </w:r>
      </w:hyperlink>
      <w:r>
        <w:rPr>
          <w:rFonts w:ascii="Arial" w:cs="Arial" w:eastAsia="Arial" w:hAnsi="Arial"/>
          <w:sz w:val="18"/>
          <w:szCs w:val="18"/>
          <w:color w:val="auto"/>
        </w:rPr>
        <w:t xml:space="preserve"> </w:t>
      </w:r>
      <w:hyperlink r:id="rId93">
        <w:r>
          <w:rPr>
            <w:rFonts w:ascii="Arial" w:cs="Arial" w:eastAsia="Arial" w:hAnsi="Arial"/>
            <w:sz w:val="18"/>
            <w:szCs w:val="18"/>
            <w:color w:val="auto"/>
          </w:rPr>
          <w:t>January 29, 2026.</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March 31, 2026, none of our directors or officers (as defined in Rule 16a-1(f) of the Exchange Act) adopted or terminated a Rule 10b5-1 trading arrangement or non-Rule 10b5-1 trading arrangement (as such terms are defined in Item 408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420370</wp:posOffset>
            </wp:positionV>
            <wp:extent cx="70465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7"/>
                <w:szCs w:val="17"/>
                <w:color w:val="auto"/>
              </w:rPr>
            </w:pPr>
          </w:p>
        </w:tc>
      </w:tr>
      <w:tr>
        <w:trPr>
          <w:trHeight w:val="197"/>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No.</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Filing Date</w:t>
            </w:r>
          </w:p>
        </w:tc>
      </w:tr>
      <w:tr>
        <w:trPr>
          <w:trHeight w:val="155"/>
        </w:trPr>
        <w:tc>
          <w:tcPr>
            <w:tcW w:w="780" w:type="dxa"/>
            <w:vAlign w:val="bottom"/>
            <w:tcBorders>
              <w:top w:val="single" w:sz="8" w:color="auto"/>
            </w:tcBorders>
            <w:shd w:val="clear" w:color="auto" w:fill="BFE4FF"/>
          </w:tcPr>
          <w:p>
            <w:pPr>
              <w:jc w:val="center"/>
              <w:spacing w:after="0" w:line="155" w:lineRule="exact"/>
              <w:rPr>
                <w:rFonts w:ascii="Arial" w:cs="Arial" w:eastAsia="Arial" w:hAnsi="Arial"/>
                <w:sz w:val="16"/>
                <w:szCs w:val="16"/>
                <w:color w:val="auto"/>
                <w:w w:val="98"/>
              </w:rPr>
            </w:pPr>
            <w:hyperlink r:id="rId96">
              <w:r>
                <w:rPr>
                  <w:rFonts w:ascii="Arial" w:cs="Arial" w:eastAsia="Arial" w:hAnsi="Arial"/>
                  <w:sz w:val="16"/>
                  <w:szCs w:val="16"/>
                  <w:color w:val="auto"/>
                  <w:w w:val="98"/>
                </w:rPr>
                <w:t>2.1</w:t>
              </w:r>
            </w:hyperlink>
          </w:p>
        </w:tc>
        <w:tc>
          <w:tcPr>
            <w:tcW w:w="100" w:type="dxa"/>
            <w:vAlign w:val="bottom"/>
            <w:tcBorders>
              <w:top w:val="single" w:sz="8" w:color="BFE4FF"/>
            </w:tcBorders>
            <w:shd w:val="clear" w:color="auto" w:fill="BFE4FF"/>
          </w:tcPr>
          <w:p>
            <w:pPr>
              <w:spacing w:after="0"/>
              <w:rPr>
                <w:sz w:val="13"/>
                <w:szCs w:val="13"/>
                <w:color w:val="auto"/>
              </w:rPr>
            </w:pPr>
          </w:p>
        </w:tc>
        <w:tc>
          <w:tcPr>
            <w:tcW w:w="6580" w:type="dxa"/>
            <w:vAlign w:val="bottom"/>
            <w:tcBorders>
              <w:top w:val="single" w:sz="8" w:color="auto"/>
            </w:tcBorders>
            <w:shd w:val="clear" w:color="auto" w:fill="BFE4FF"/>
          </w:tcPr>
          <w:p>
            <w:pPr>
              <w:ind w:left="20"/>
              <w:spacing w:after="0" w:line="155" w:lineRule="exact"/>
              <w:rPr>
                <w:rFonts w:ascii="Arial" w:cs="Arial" w:eastAsia="Arial" w:hAnsi="Arial"/>
                <w:sz w:val="16"/>
                <w:szCs w:val="16"/>
                <w:color w:val="auto"/>
              </w:rPr>
            </w:pPr>
            <w:hyperlink r:id="rId96">
              <w:r>
                <w:rPr>
                  <w:rFonts w:ascii="Arial" w:cs="Arial" w:eastAsia="Arial" w:hAnsi="Arial"/>
                  <w:sz w:val="16"/>
                  <w:szCs w:val="16"/>
                  <w:color w:val="auto"/>
                </w:rPr>
                <w:t>Agreement and Plan of Merger, dated March 4, 2026, by and among USA Rare Earth, Inc.,</w:t>
              </w:r>
            </w:hyperlink>
          </w:p>
        </w:tc>
        <w:tc>
          <w:tcPr>
            <w:tcW w:w="100" w:type="dxa"/>
            <w:vAlign w:val="bottom"/>
            <w:tcBorders>
              <w:top w:val="single" w:sz="8" w:color="BFE4FF"/>
            </w:tcBorders>
            <w:shd w:val="clear" w:color="auto" w:fill="BFE4FF"/>
          </w:tcPr>
          <w:p>
            <w:pPr>
              <w:spacing w:after="0"/>
              <w:rPr>
                <w:sz w:val="13"/>
                <w:szCs w:val="13"/>
                <w:color w:val="auto"/>
              </w:rPr>
            </w:pPr>
          </w:p>
        </w:tc>
        <w:tc>
          <w:tcPr>
            <w:tcW w:w="580" w:type="dxa"/>
            <w:vAlign w:val="bottom"/>
            <w:tcBorders>
              <w:top w:val="single" w:sz="8" w:color="auto"/>
            </w:tcBorders>
            <w:shd w:val="clear" w:color="auto" w:fill="BFE4FF"/>
          </w:tcPr>
          <w:p>
            <w:pPr>
              <w:jc w:val="center"/>
              <w:spacing w:after="0" w:line="155" w:lineRule="exact"/>
              <w:rPr>
                <w:sz w:val="20"/>
                <w:szCs w:val="20"/>
                <w:color w:val="auto"/>
              </w:rPr>
            </w:pPr>
            <w:r>
              <w:rPr>
                <w:rFonts w:ascii="Arial" w:cs="Arial" w:eastAsia="Arial" w:hAnsi="Arial"/>
                <w:sz w:val="16"/>
                <w:szCs w:val="16"/>
                <w:color w:val="auto"/>
              </w:rPr>
              <w:t>8-K</w:t>
            </w:r>
          </w:p>
        </w:tc>
        <w:tc>
          <w:tcPr>
            <w:tcW w:w="80" w:type="dxa"/>
            <w:vAlign w:val="bottom"/>
            <w:tcBorders>
              <w:top w:val="single" w:sz="8" w:color="BFE4FF"/>
            </w:tcBorders>
            <w:shd w:val="clear" w:color="auto" w:fill="BFE4FF"/>
          </w:tcPr>
          <w:p>
            <w:pPr>
              <w:spacing w:after="0"/>
              <w:rPr>
                <w:sz w:val="13"/>
                <w:szCs w:val="13"/>
                <w:color w:val="auto"/>
              </w:rPr>
            </w:pPr>
          </w:p>
        </w:tc>
        <w:tc>
          <w:tcPr>
            <w:tcW w:w="1080" w:type="dxa"/>
            <w:vAlign w:val="bottom"/>
            <w:tcBorders>
              <w:top w:val="single" w:sz="8" w:color="auto"/>
            </w:tcBorders>
            <w:shd w:val="clear" w:color="auto" w:fill="BFE4FF"/>
          </w:tcPr>
          <w:p>
            <w:pPr>
              <w:jc w:val="center"/>
              <w:spacing w:after="0" w:line="155" w:lineRule="exact"/>
              <w:rPr>
                <w:sz w:val="20"/>
                <w:szCs w:val="20"/>
                <w:color w:val="auto"/>
              </w:rPr>
            </w:pPr>
            <w:r>
              <w:rPr>
                <w:rFonts w:ascii="Arial" w:cs="Arial" w:eastAsia="Arial" w:hAnsi="Arial"/>
                <w:sz w:val="16"/>
                <w:szCs w:val="16"/>
                <w:color w:val="auto"/>
              </w:rPr>
              <w:t>001-41711</w:t>
            </w:r>
          </w:p>
        </w:tc>
        <w:tc>
          <w:tcPr>
            <w:tcW w:w="100" w:type="dxa"/>
            <w:vAlign w:val="bottom"/>
            <w:tcBorders>
              <w:top w:val="single" w:sz="8" w:color="BFE4FF"/>
            </w:tcBorders>
            <w:shd w:val="clear" w:color="auto" w:fill="BFE4FF"/>
          </w:tcPr>
          <w:p>
            <w:pPr>
              <w:spacing w:after="0"/>
              <w:rPr>
                <w:sz w:val="13"/>
                <w:szCs w:val="13"/>
                <w:color w:val="auto"/>
              </w:rPr>
            </w:pPr>
          </w:p>
        </w:tc>
        <w:tc>
          <w:tcPr>
            <w:tcW w:w="680" w:type="dxa"/>
            <w:vAlign w:val="bottom"/>
            <w:tcBorders>
              <w:top w:val="single" w:sz="8" w:color="auto"/>
            </w:tcBorders>
            <w:shd w:val="clear" w:color="auto" w:fill="BFE4FF"/>
          </w:tcPr>
          <w:p>
            <w:pPr>
              <w:jc w:val="center"/>
              <w:spacing w:after="0" w:line="155" w:lineRule="exact"/>
              <w:rPr>
                <w:sz w:val="20"/>
                <w:szCs w:val="20"/>
                <w:color w:val="auto"/>
              </w:rPr>
            </w:pPr>
            <w:r>
              <w:rPr>
                <w:rFonts w:ascii="Arial" w:cs="Arial" w:eastAsia="Arial" w:hAnsi="Arial"/>
                <w:sz w:val="16"/>
                <w:szCs w:val="16"/>
                <w:color w:val="auto"/>
              </w:rPr>
              <w:t>2.1</w:t>
            </w:r>
          </w:p>
        </w:tc>
        <w:tc>
          <w:tcPr>
            <w:tcW w:w="100" w:type="dxa"/>
            <w:vAlign w:val="bottom"/>
            <w:tcBorders>
              <w:top w:val="single" w:sz="8" w:color="BFE4FF"/>
            </w:tcBorders>
            <w:shd w:val="clear" w:color="auto" w:fill="BFE4FF"/>
          </w:tcPr>
          <w:p>
            <w:pPr>
              <w:spacing w:after="0"/>
              <w:rPr>
                <w:sz w:val="13"/>
                <w:szCs w:val="13"/>
                <w:color w:val="auto"/>
              </w:rPr>
            </w:pPr>
          </w:p>
        </w:tc>
        <w:tc>
          <w:tcPr>
            <w:tcW w:w="140" w:type="dxa"/>
            <w:vAlign w:val="bottom"/>
            <w:tcBorders>
              <w:top w:val="single" w:sz="8" w:color="auto"/>
            </w:tcBorders>
            <w:shd w:val="clear" w:color="auto" w:fill="BFE4FF"/>
          </w:tcPr>
          <w:p>
            <w:pPr>
              <w:spacing w:after="0"/>
              <w:rPr>
                <w:sz w:val="13"/>
                <w:szCs w:val="13"/>
                <w:color w:val="auto"/>
              </w:rPr>
            </w:pPr>
          </w:p>
        </w:tc>
        <w:tc>
          <w:tcPr>
            <w:tcW w:w="920" w:type="dxa"/>
            <w:vAlign w:val="bottom"/>
            <w:tcBorders>
              <w:top w:val="single" w:sz="8" w:color="auto"/>
            </w:tcBorders>
            <w:shd w:val="clear" w:color="auto" w:fill="BFE4FF"/>
          </w:tcPr>
          <w:p>
            <w:pPr>
              <w:jc w:val="center"/>
              <w:ind w:right="60"/>
              <w:spacing w:after="0" w:line="155" w:lineRule="exact"/>
              <w:rPr>
                <w:sz w:val="20"/>
                <w:szCs w:val="20"/>
                <w:color w:val="auto"/>
              </w:rPr>
            </w:pPr>
            <w:r>
              <w:rPr>
                <w:rFonts w:ascii="Arial" w:cs="Arial" w:eastAsia="Arial" w:hAnsi="Arial"/>
                <w:sz w:val="16"/>
                <w:szCs w:val="16"/>
                <w:color w:val="auto"/>
                <w:w w:val="99"/>
              </w:rPr>
              <w:t>3/5/2026</w:t>
            </w:r>
          </w:p>
        </w:tc>
      </w:tr>
      <w:tr>
        <w:trPr>
          <w:trHeight w:val="216"/>
        </w:trPr>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680" w:type="dxa"/>
            <w:vAlign w:val="bottom"/>
            <w:gridSpan w:val="2"/>
            <w:shd w:val="clear" w:color="auto" w:fill="BFE4FF"/>
          </w:tcPr>
          <w:p>
            <w:pPr>
              <w:ind w:left="20"/>
              <w:spacing w:after="0"/>
              <w:rPr>
                <w:rFonts w:ascii="Arial" w:cs="Arial" w:eastAsia="Arial" w:hAnsi="Arial"/>
                <w:sz w:val="16"/>
                <w:szCs w:val="16"/>
                <w:color w:val="auto"/>
              </w:rPr>
            </w:pPr>
            <w:hyperlink r:id="rId96">
              <w:r>
                <w:rPr>
                  <w:rFonts w:ascii="Arial" w:cs="Arial" w:eastAsia="Arial" w:hAnsi="Arial"/>
                  <w:sz w:val="16"/>
                  <w:szCs w:val="16"/>
                  <w:color w:val="auto"/>
                </w:rPr>
                <w:t>Texas Mineral Resources Corp., Hamer Merger Sub, Inc. and Hamer Merger Sub, LLC.</w:t>
              </w:r>
            </w:hyperlink>
          </w:p>
        </w:tc>
        <w:tc>
          <w:tcPr>
            <w:tcW w:w="5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162"/>
        </w:trPr>
        <w:tc>
          <w:tcPr>
            <w:tcW w:w="780" w:type="dxa"/>
            <w:vAlign w:val="bottom"/>
          </w:tcPr>
          <w:p>
            <w:pPr>
              <w:jc w:val="center"/>
              <w:spacing w:after="0" w:line="162" w:lineRule="exact"/>
              <w:rPr>
                <w:rFonts w:ascii="Arial" w:cs="Arial" w:eastAsia="Arial" w:hAnsi="Arial"/>
                <w:sz w:val="16"/>
                <w:szCs w:val="16"/>
                <w:color w:val="auto"/>
                <w:w w:val="98"/>
              </w:rPr>
            </w:pPr>
            <w:hyperlink r:id="rId97">
              <w:r>
                <w:rPr>
                  <w:rFonts w:ascii="Arial" w:cs="Arial" w:eastAsia="Arial" w:hAnsi="Arial"/>
                  <w:sz w:val="16"/>
                  <w:szCs w:val="16"/>
                  <w:color w:val="auto"/>
                  <w:w w:val="98"/>
                </w:rPr>
                <w:t>2.2</w:t>
              </w:r>
            </w:hyperlink>
          </w:p>
        </w:tc>
        <w:tc>
          <w:tcPr>
            <w:tcW w:w="100" w:type="dxa"/>
            <w:vAlign w:val="bottom"/>
          </w:tcPr>
          <w:p>
            <w:pPr>
              <w:spacing w:after="0"/>
              <w:rPr>
                <w:sz w:val="14"/>
                <w:szCs w:val="14"/>
                <w:color w:val="auto"/>
              </w:rPr>
            </w:pPr>
          </w:p>
        </w:tc>
        <w:tc>
          <w:tcPr>
            <w:tcW w:w="6680" w:type="dxa"/>
            <w:vAlign w:val="bottom"/>
            <w:gridSpan w:val="2"/>
          </w:tcPr>
          <w:p>
            <w:pPr>
              <w:ind w:left="20"/>
              <w:spacing w:after="0" w:line="162" w:lineRule="exact"/>
              <w:rPr>
                <w:rFonts w:ascii="Arial" w:cs="Arial" w:eastAsia="Arial" w:hAnsi="Arial"/>
                <w:sz w:val="16"/>
                <w:szCs w:val="16"/>
                <w:color w:val="auto"/>
              </w:rPr>
            </w:pPr>
            <w:hyperlink r:id="rId97">
              <w:r>
                <w:rPr>
                  <w:rFonts w:ascii="Arial" w:cs="Arial" w:eastAsia="Arial" w:hAnsi="Arial"/>
                  <w:sz w:val="16"/>
                  <w:szCs w:val="16"/>
                  <w:color w:val="auto"/>
                </w:rPr>
                <w:t>Agreement and Plan of Merger, dated April 19, 2026, by and among USAR, SVRE, Merger</w:t>
              </w:r>
            </w:hyperlink>
          </w:p>
        </w:tc>
        <w:tc>
          <w:tcPr>
            <w:tcW w:w="66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rPr>
              <w:t>8-K</w:t>
            </w: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auto"/>
              </w:rPr>
              <w:t>001-41711</w:t>
            </w:r>
          </w:p>
        </w:tc>
        <w:tc>
          <w:tcPr>
            <w:tcW w:w="100" w:type="dxa"/>
            <w:vAlign w:val="bottom"/>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line="162" w:lineRule="exact"/>
              <w:rPr>
                <w:sz w:val="20"/>
                <w:szCs w:val="20"/>
                <w:color w:val="auto"/>
              </w:rPr>
            </w:pPr>
            <w:r>
              <w:rPr>
                <w:rFonts w:ascii="Arial" w:cs="Arial" w:eastAsia="Arial" w:hAnsi="Arial"/>
                <w:sz w:val="16"/>
                <w:szCs w:val="16"/>
                <w:color w:val="auto"/>
              </w:rPr>
              <w:t>4/20/2026</w:t>
            </w:r>
          </w:p>
        </w:tc>
      </w:tr>
      <w:tr>
        <w:trPr>
          <w:trHeight w:val="215"/>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gridSpan w:val="2"/>
          </w:tcPr>
          <w:p>
            <w:pPr>
              <w:ind w:left="20"/>
              <w:spacing w:after="0"/>
              <w:rPr>
                <w:rFonts w:ascii="Arial" w:cs="Arial" w:eastAsia="Arial" w:hAnsi="Arial"/>
                <w:sz w:val="16"/>
                <w:szCs w:val="16"/>
                <w:color w:val="auto"/>
              </w:rPr>
            </w:pPr>
            <w:hyperlink r:id="rId97">
              <w:r>
                <w:rPr>
                  <w:rFonts w:ascii="Arial" w:cs="Arial" w:eastAsia="Arial" w:hAnsi="Arial"/>
                  <w:sz w:val="16"/>
                  <w:szCs w:val="16"/>
                  <w:color w:val="auto"/>
                </w:rPr>
                <w:t>Sub and the Serra Verde Rare Earths Ltd., as the Seller Representative.</w:t>
              </w:r>
            </w:hyperlink>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3"/>
        </w:trPr>
        <w:tc>
          <w:tcPr>
            <w:tcW w:w="780" w:type="dxa"/>
            <w:vAlign w:val="bottom"/>
            <w:shd w:val="clear" w:color="auto" w:fill="BFE4FF"/>
          </w:tcPr>
          <w:p>
            <w:pPr>
              <w:jc w:val="center"/>
              <w:spacing w:after="0" w:line="163" w:lineRule="exact"/>
              <w:rPr>
                <w:rFonts w:ascii="Arial" w:cs="Arial" w:eastAsia="Arial" w:hAnsi="Arial"/>
                <w:sz w:val="16"/>
                <w:szCs w:val="16"/>
                <w:color w:val="auto"/>
                <w:w w:val="98"/>
              </w:rPr>
            </w:pPr>
            <w:hyperlink r:id="rId98">
              <w:r>
                <w:rPr>
                  <w:rFonts w:ascii="Arial" w:cs="Arial" w:eastAsia="Arial" w:hAnsi="Arial"/>
                  <w:sz w:val="16"/>
                  <w:szCs w:val="16"/>
                  <w:color w:val="auto"/>
                  <w:w w:val="98"/>
                </w:rPr>
                <w:t>3.1</w:t>
              </w:r>
            </w:hyperlink>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3" w:lineRule="exact"/>
              <w:rPr>
                <w:rFonts w:ascii="Arial" w:cs="Arial" w:eastAsia="Arial" w:hAnsi="Arial"/>
                <w:sz w:val="16"/>
                <w:szCs w:val="16"/>
                <w:color w:val="auto"/>
              </w:rPr>
            </w:pPr>
            <w:hyperlink r:id="rId98">
              <w:r>
                <w:rPr>
                  <w:rFonts w:ascii="Arial" w:cs="Arial" w:eastAsia="Arial" w:hAnsi="Arial"/>
                  <w:sz w:val="16"/>
                  <w:szCs w:val="16"/>
                  <w:color w:val="auto"/>
                </w:rPr>
                <w:t>Certificate of Amendment, dated January 26, 2026, USA Rare Earth, Inc. Certificate of</w:t>
              </w:r>
            </w:hyperlink>
          </w:p>
        </w:tc>
        <w:tc>
          <w:tcPr>
            <w:tcW w:w="660" w:type="dxa"/>
            <w:vAlign w:val="bottom"/>
            <w:gridSpan w:val="2"/>
            <w:shd w:val="clear" w:color="auto" w:fill="BFE4FF"/>
          </w:tcPr>
          <w:p>
            <w:pPr>
              <w:jc w:val="center"/>
              <w:ind w:right="80"/>
              <w:spacing w:after="0" w:line="163" w:lineRule="exact"/>
              <w:rPr>
                <w:sz w:val="20"/>
                <w:szCs w:val="20"/>
                <w:color w:val="auto"/>
              </w:rPr>
            </w:pPr>
            <w:r>
              <w:rPr>
                <w:rFonts w:ascii="Arial" w:cs="Arial" w:eastAsia="Arial" w:hAnsi="Arial"/>
                <w:sz w:val="16"/>
                <w:szCs w:val="16"/>
                <w:color w:val="auto"/>
              </w:rPr>
              <w:t>8-K</w:t>
            </w:r>
          </w:p>
        </w:tc>
        <w:tc>
          <w:tcPr>
            <w:tcW w:w="10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0001-41711</w:t>
            </w: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3.1</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jc w:val="center"/>
              <w:ind w:right="80"/>
              <w:spacing w:after="0" w:line="163" w:lineRule="exact"/>
              <w:rPr>
                <w:sz w:val="20"/>
                <w:szCs w:val="20"/>
                <w:color w:val="auto"/>
              </w:rPr>
            </w:pPr>
            <w:r>
              <w:rPr>
                <w:rFonts w:ascii="Arial" w:cs="Arial" w:eastAsia="Arial" w:hAnsi="Arial"/>
                <w:sz w:val="16"/>
                <w:szCs w:val="16"/>
                <w:color w:val="auto"/>
              </w:rPr>
              <w:t>1/26/2026</w:t>
            </w:r>
          </w:p>
        </w:tc>
      </w:tr>
      <w:tr>
        <w:trPr>
          <w:trHeight w:val="162"/>
        </w:trPr>
        <w:tc>
          <w:tcPr>
            <w:tcW w:w="7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2" w:lineRule="exact"/>
              <w:rPr>
                <w:rFonts w:ascii="Arial" w:cs="Arial" w:eastAsia="Arial" w:hAnsi="Arial"/>
                <w:sz w:val="16"/>
                <w:szCs w:val="16"/>
                <w:color w:val="auto"/>
              </w:rPr>
            </w:pPr>
            <w:hyperlink r:id="rId98">
              <w:r>
                <w:rPr>
                  <w:rFonts w:ascii="Arial" w:cs="Arial" w:eastAsia="Arial" w:hAnsi="Arial"/>
                  <w:sz w:val="16"/>
                  <w:szCs w:val="16"/>
                  <w:color w:val="auto"/>
                </w:rPr>
                <w:t>Designation  of  Preferences,  Rights  and  Limitations  of  12.0%  Series  A  Cumulative</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216"/>
        </w:trPr>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680" w:type="dxa"/>
            <w:vAlign w:val="bottom"/>
            <w:gridSpan w:val="2"/>
            <w:shd w:val="clear" w:color="auto" w:fill="BFE4FF"/>
          </w:tcPr>
          <w:p>
            <w:pPr>
              <w:ind w:left="20"/>
              <w:spacing w:after="0"/>
              <w:rPr>
                <w:rFonts w:ascii="Arial" w:cs="Arial" w:eastAsia="Arial" w:hAnsi="Arial"/>
                <w:sz w:val="16"/>
                <w:szCs w:val="16"/>
                <w:color w:val="auto"/>
              </w:rPr>
            </w:pPr>
            <w:hyperlink r:id="rId98">
              <w:r>
                <w:rPr>
                  <w:rFonts w:ascii="Arial" w:cs="Arial" w:eastAsia="Arial" w:hAnsi="Arial"/>
                  <w:sz w:val="16"/>
                  <w:szCs w:val="16"/>
                  <w:color w:val="auto"/>
                </w:rPr>
                <w:t>Convertible Preferred Stock.</w:t>
              </w:r>
            </w:hyperlink>
          </w:p>
        </w:tc>
        <w:tc>
          <w:tcPr>
            <w:tcW w:w="5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215"/>
        </w:trPr>
        <w:tc>
          <w:tcPr>
            <w:tcW w:w="780" w:type="dxa"/>
            <w:vAlign w:val="bottom"/>
          </w:tcPr>
          <w:p>
            <w:pPr>
              <w:jc w:val="center"/>
              <w:spacing w:after="0"/>
              <w:rPr>
                <w:rFonts w:ascii="Arial" w:cs="Arial" w:eastAsia="Arial" w:hAnsi="Arial"/>
                <w:sz w:val="16"/>
                <w:szCs w:val="16"/>
                <w:color w:val="auto"/>
                <w:w w:val="98"/>
              </w:rPr>
            </w:pPr>
            <w:hyperlink r:id="rId99">
              <w:r>
                <w:rPr>
                  <w:rFonts w:ascii="Arial" w:cs="Arial" w:eastAsia="Arial" w:hAnsi="Arial"/>
                  <w:sz w:val="16"/>
                  <w:szCs w:val="16"/>
                  <w:color w:val="auto"/>
                  <w:w w:val="98"/>
                </w:rPr>
                <w:t>4.1</w:t>
              </w:r>
            </w:hyperlink>
          </w:p>
        </w:tc>
        <w:tc>
          <w:tcPr>
            <w:tcW w:w="100" w:type="dxa"/>
            <w:vAlign w:val="bottom"/>
          </w:tcPr>
          <w:p>
            <w:pPr>
              <w:spacing w:after="0"/>
              <w:rPr>
                <w:sz w:val="18"/>
                <w:szCs w:val="18"/>
                <w:color w:val="auto"/>
              </w:rPr>
            </w:pPr>
          </w:p>
        </w:tc>
        <w:tc>
          <w:tcPr>
            <w:tcW w:w="6680" w:type="dxa"/>
            <w:vAlign w:val="bottom"/>
            <w:gridSpan w:val="2"/>
          </w:tcPr>
          <w:p>
            <w:pPr>
              <w:ind w:left="20"/>
              <w:spacing w:after="0"/>
              <w:rPr>
                <w:rFonts w:ascii="Arial" w:cs="Arial" w:eastAsia="Arial" w:hAnsi="Arial"/>
                <w:sz w:val="16"/>
                <w:szCs w:val="16"/>
                <w:color w:val="auto"/>
              </w:rPr>
            </w:pPr>
            <w:hyperlink r:id="rId99">
              <w:r>
                <w:rPr>
                  <w:rFonts w:ascii="Arial" w:cs="Arial" w:eastAsia="Arial" w:hAnsi="Arial"/>
                  <w:sz w:val="16"/>
                  <w:szCs w:val="16"/>
                  <w:color w:val="auto"/>
                </w:rPr>
                <w:t>Form of Amendment to Warrants issued to Series A Investors and Closing PIPE Investors.</w:t>
              </w:r>
            </w:hyperlink>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8-K</w:t>
            </w:r>
          </w:p>
        </w:tc>
        <w:tc>
          <w:tcPr>
            <w:tcW w:w="1080" w:type="dxa"/>
            <w:vAlign w:val="bottom"/>
          </w:tcPr>
          <w:p>
            <w:pPr>
              <w:jc w:val="center"/>
              <w:spacing w:after="0"/>
              <w:rPr>
                <w:sz w:val="20"/>
                <w:szCs w:val="20"/>
                <w:color w:val="auto"/>
              </w:rPr>
            </w:pPr>
            <w:r>
              <w:rPr>
                <w:rFonts w:ascii="Arial" w:cs="Arial" w:eastAsia="Arial" w:hAnsi="Arial"/>
                <w:sz w:val="16"/>
                <w:szCs w:val="16"/>
                <w:color w:val="auto"/>
              </w:rPr>
              <w:t>001-41711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80"/>
              <w:spacing w:after="0"/>
              <w:rPr>
                <w:sz w:val="20"/>
                <w:szCs w:val="20"/>
                <w:color w:val="auto"/>
              </w:rPr>
            </w:pPr>
            <w:r>
              <w:rPr>
                <w:rFonts w:ascii="Arial" w:cs="Arial" w:eastAsia="Arial" w:hAnsi="Arial"/>
                <w:sz w:val="16"/>
                <w:szCs w:val="16"/>
                <w:color w:val="auto"/>
              </w:rPr>
              <w:t>1/26/2026</w:t>
            </w:r>
          </w:p>
        </w:tc>
      </w:tr>
      <w:tr>
        <w:trPr>
          <w:trHeight w:val="163"/>
        </w:trPr>
        <w:tc>
          <w:tcPr>
            <w:tcW w:w="780" w:type="dxa"/>
            <w:vAlign w:val="bottom"/>
            <w:shd w:val="clear" w:color="auto" w:fill="BFE4FF"/>
          </w:tcPr>
          <w:p>
            <w:pPr>
              <w:jc w:val="center"/>
              <w:spacing w:after="0" w:line="163" w:lineRule="exact"/>
              <w:rPr>
                <w:rFonts w:ascii="Arial" w:cs="Arial" w:eastAsia="Arial" w:hAnsi="Arial"/>
                <w:sz w:val="16"/>
                <w:szCs w:val="16"/>
                <w:color w:val="auto"/>
              </w:rPr>
            </w:pPr>
            <w:r>
              <w:rPr>
                <w:rFonts w:ascii="Arial" w:cs="Arial" w:eastAsia="Arial" w:hAnsi="Arial"/>
                <w:sz w:val="16"/>
                <w:szCs w:val="16"/>
                <w:color w:val="auto"/>
              </w:rPr>
              <w:t>10.</w:t>
            </w:r>
            <w:hyperlink r:id="rId100">
              <w:r>
                <w:rPr>
                  <w:rFonts w:ascii="Arial" w:cs="Arial" w:eastAsia="Arial" w:hAnsi="Arial"/>
                  <w:sz w:val="16"/>
                  <w:szCs w:val="16"/>
                  <w:color w:val="auto"/>
                </w:rPr>
                <w:t>1</w:t>
              </w:r>
            </w:hyperlink>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3" w:lineRule="exact"/>
              <w:rPr>
                <w:rFonts w:ascii="Arial" w:cs="Arial" w:eastAsia="Arial" w:hAnsi="Arial"/>
                <w:sz w:val="16"/>
                <w:szCs w:val="16"/>
                <w:color w:val="auto"/>
              </w:rPr>
            </w:pPr>
            <w:hyperlink r:id="rId100">
              <w:r>
                <w:rPr>
                  <w:rFonts w:ascii="Arial" w:cs="Arial" w:eastAsia="Arial" w:hAnsi="Arial"/>
                  <w:sz w:val="16"/>
                  <w:szCs w:val="16"/>
                  <w:color w:val="auto"/>
                </w:rPr>
                <w:t>Form of Securities Purchase Agreement, dated as of January 26, 2026, by and among the</w:t>
              </w:r>
            </w:hyperlink>
          </w:p>
        </w:tc>
        <w:tc>
          <w:tcPr>
            <w:tcW w:w="660" w:type="dxa"/>
            <w:vAlign w:val="bottom"/>
            <w:gridSpan w:val="2"/>
            <w:shd w:val="clear" w:color="auto" w:fill="BFE4FF"/>
          </w:tcPr>
          <w:p>
            <w:pPr>
              <w:jc w:val="center"/>
              <w:ind w:right="80"/>
              <w:spacing w:after="0" w:line="163" w:lineRule="exact"/>
              <w:rPr>
                <w:sz w:val="20"/>
                <w:szCs w:val="20"/>
                <w:color w:val="auto"/>
              </w:rPr>
            </w:pPr>
            <w:r>
              <w:rPr>
                <w:rFonts w:ascii="Arial" w:cs="Arial" w:eastAsia="Arial" w:hAnsi="Arial"/>
                <w:sz w:val="16"/>
                <w:szCs w:val="16"/>
                <w:color w:val="auto"/>
              </w:rPr>
              <w:t>8-K</w:t>
            </w:r>
          </w:p>
        </w:tc>
        <w:tc>
          <w:tcPr>
            <w:tcW w:w="10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001-41711</w:t>
            </w: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10.1</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jc w:val="center"/>
              <w:ind w:right="80"/>
              <w:spacing w:after="0" w:line="163" w:lineRule="exact"/>
              <w:rPr>
                <w:sz w:val="20"/>
                <w:szCs w:val="20"/>
                <w:color w:val="auto"/>
              </w:rPr>
            </w:pPr>
            <w:r>
              <w:rPr>
                <w:rFonts w:ascii="Arial" w:cs="Arial" w:eastAsia="Arial" w:hAnsi="Arial"/>
                <w:sz w:val="16"/>
                <w:szCs w:val="16"/>
                <w:color w:val="auto"/>
              </w:rPr>
              <w:t>1/26/2026</w:t>
            </w:r>
          </w:p>
        </w:tc>
      </w:tr>
      <w:tr>
        <w:trPr>
          <w:trHeight w:val="216"/>
        </w:trPr>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680" w:type="dxa"/>
            <w:vAlign w:val="bottom"/>
            <w:gridSpan w:val="2"/>
            <w:shd w:val="clear" w:color="auto" w:fill="BFE4FF"/>
          </w:tcPr>
          <w:p>
            <w:pPr>
              <w:ind w:left="20"/>
              <w:spacing w:after="0"/>
              <w:rPr>
                <w:rFonts w:ascii="Arial" w:cs="Arial" w:eastAsia="Arial" w:hAnsi="Arial"/>
                <w:sz w:val="16"/>
                <w:szCs w:val="16"/>
                <w:color w:val="auto"/>
              </w:rPr>
            </w:pPr>
            <w:hyperlink r:id="rId100">
              <w:r>
                <w:rPr>
                  <w:rFonts w:ascii="Arial" w:cs="Arial" w:eastAsia="Arial" w:hAnsi="Arial"/>
                  <w:sz w:val="16"/>
                  <w:szCs w:val="16"/>
                  <w:color w:val="auto"/>
                </w:rPr>
                <w:t>Company and the Purchasers party thereto.</w:t>
              </w:r>
            </w:hyperlink>
          </w:p>
        </w:tc>
        <w:tc>
          <w:tcPr>
            <w:tcW w:w="5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162"/>
        </w:trPr>
        <w:tc>
          <w:tcPr>
            <w:tcW w:w="780" w:type="dxa"/>
            <w:vAlign w:val="bottom"/>
          </w:tcPr>
          <w:p>
            <w:pPr>
              <w:jc w:val="center"/>
              <w:spacing w:after="0" w:line="162" w:lineRule="exact"/>
              <w:rPr>
                <w:rFonts w:ascii="Arial" w:cs="Arial" w:eastAsia="Arial" w:hAnsi="Arial"/>
                <w:sz w:val="16"/>
                <w:szCs w:val="16"/>
                <w:color w:val="auto"/>
              </w:rPr>
            </w:pPr>
            <w:r>
              <w:rPr>
                <w:rFonts w:ascii="Arial" w:cs="Arial" w:eastAsia="Arial" w:hAnsi="Arial"/>
                <w:sz w:val="16"/>
                <w:szCs w:val="16"/>
                <w:color w:val="auto"/>
              </w:rPr>
              <w:t>10.</w:t>
            </w:r>
            <w:hyperlink r:id="rId101">
              <w:r>
                <w:rPr>
                  <w:rFonts w:ascii="Arial" w:cs="Arial" w:eastAsia="Arial" w:hAnsi="Arial"/>
                  <w:sz w:val="16"/>
                  <w:szCs w:val="16"/>
                  <w:color w:val="auto"/>
                </w:rPr>
                <w:t>2</w:t>
              </w:r>
            </w:hyperlink>
          </w:p>
        </w:tc>
        <w:tc>
          <w:tcPr>
            <w:tcW w:w="100" w:type="dxa"/>
            <w:vAlign w:val="bottom"/>
          </w:tcPr>
          <w:p>
            <w:pPr>
              <w:spacing w:after="0"/>
              <w:rPr>
                <w:sz w:val="14"/>
                <w:szCs w:val="14"/>
                <w:color w:val="auto"/>
              </w:rPr>
            </w:pPr>
          </w:p>
        </w:tc>
        <w:tc>
          <w:tcPr>
            <w:tcW w:w="6680" w:type="dxa"/>
            <w:vAlign w:val="bottom"/>
            <w:gridSpan w:val="2"/>
          </w:tcPr>
          <w:p>
            <w:pPr>
              <w:ind w:left="20"/>
              <w:spacing w:after="0" w:line="162" w:lineRule="exact"/>
              <w:rPr>
                <w:rFonts w:ascii="Arial" w:cs="Arial" w:eastAsia="Arial" w:hAnsi="Arial"/>
                <w:sz w:val="16"/>
                <w:szCs w:val="16"/>
                <w:color w:val="auto"/>
              </w:rPr>
            </w:pPr>
            <w:hyperlink r:id="rId101">
              <w:r>
                <w:rPr>
                  <w:rFonts w:ascii="Arial" w:cs="Arial" w:eastAsia="Arial" w:hAnsi="Arial"/>
                  <w:sz w:val="16"/>
                  <w:szCs w:val="16"/>
                  <w:color w:val="auto"/>
                </w:rPr>
                <w:t>Form of Registration Rights Agreement, dated as of January 26, 2026, by and among the</w:t>
              </w:r>
            </w:hyperlink>
          </w:p>
        </w:tc>
        <w:tc>
          <w:tcPr>
            <w:tcW w:w="66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rPr>
              <w:t>8-K</w:t>
            </w: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auto"/>
              </w:rPr>
              <w:t>001-41711</w:t>
            </w:r>
          </w:p>
        </w:tc>
        <w:tc>
          <w:tcPr>
            <w:tcW w:w="100" w:type="dxa"/>
            <w:vAlign w:val="bottom"/>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line="162" w:lineRule="exact"/>
              <w:rPr>
                <w:sz w:val="20"/>
                <w:szCs w:val="20"/>
                <w:color w:val="auto"/>
              </w:rPr>
            </w:pPr>
            <w:r>
              <w:rPr>
                <w:rFonts w:ascii="Arial" w:cs="Arial" w:eastAsia="Arial" w:hAnsi="Arial"/>
                <w:sz w:val="16"/>
                <w:szCs w:val="16"/>
                <w:color w:val="auto"/>
              </w:rPr>
              <w:t>1/26/2026</w:t>
            </w:r>
          </w:p>
        </w:tc>
      </w:tr>
      <w:tr>
        <w:trPr>
          <w:trHeight w:val="215"/>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gridSpan w:val="2"/>
          </w:tcPr>
          <w:p>
            <w:pPr>
              <w:ind w:left="20"/>
              <w:spacing w:after="0"/>
              <w:rPr>
                <w:rFonts w:ascii="Arial" w:cs="Arial" w:eastAsia="Arial" w:hAnsi="Arial"/>
                <w:sz w:val="16"/>
                <w:szCs w:val="16"/>
                <w:color w:val="auto"/>
              </w:rPr>
            </w:pPr>
            <w:hyperlink r:id="rId101">
              <w:r>
                <w:rPr>
                  <w:rFonts w:ascii="Arial" w:cs="Arial" w:eastAsia="Arial" w:hAnsi="Arial"/>
                  <w:sz w:val="16"/>
                  <w:szCs w:val="16"/>
                  <w:color w:val="auto"/>
                </w:rPr>
                <w:t>Company and the holders party thereto.</w:t>
              </w:r>
            </w:hyperlink>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80" w:type="dxa"/>
            <w:vAlign w:val="bottom"/>
            <w:shd w:val="clear" w:color="auto" w:fill="BFE4FF"/>
          </w:tcPr>
          <w:p>
            <w:pPr>
              <w:jc w:val="center"/>
              <w:spacing w:after="0"/>
              <w:rPr>
                <w:rFonts w:ascii="Arial" w:cs="Arial" w:eastAsia="Arial" w:hAnsi="Arial"/>
                <w:sz w:val="16"/>
                <w:szCs w:val="16"/>
                <w:color w:val="auto"/>
              </w:rPr>
            </w:pPr>
            <w:hyperlink r:id="rId102">
              <w:r>
                <w:rPr>
                  <w:rFonts w:ascii="Arial" w:cs="Arial" w:eastAsia="Arial" w:hAnsi="Arial"/>
                  <w:sz w:val="16"/>
                  <w:szCs w:val="16"/>
                  <w:color w:val="auto"/>
                </w:rPr>
                <w:t>10.3</w:t>
              </w:r>
            </w:hyperlink>
          </w:p>
        </w:tc>
        <w:tc>
          <w:tcPr>
            <w:tcW w:w="100" w:type="dxa"/>
            <w:vAlign w:val="bottom"/>
            <w:shd w:val="clear" w:color="auto" w:fill="BFE4FF"/>
          </w:tcPr>
          <w:p>
            <w:pPr>
              <w:spacing w:after="0"/>
              <w:rPr>
                <w:sz w:val="18"/>
                <w:szCs w:val="18"/>
                <w:color w:val="auto"/>
              </w:rPr>
            </w:pPr>
          </w:p>
        </w:tc>
        <w:tc>
          <w:tcPr>
            <w:tcW w:w="6680" w:type="dxa"/>
            <w:vAlign w:val="bottom"/>
            <w:gridSpan w:val="2"/>
            <w:shd w:val="clear" w:color="auto" w:fill="BFE4FF"/>
          </w:tcPr>
          <w:p>
            <w:pPr>
              <w:ind w:left="20"/>
              <w:spacing w:after="0"/>
              <w:rPr>
                <w:rFonts w:ascii="Arial" w:cs="Arial" w:eastAsia="Arial" w:hAnsi="Arial"/>
                <w:sz w:val="16"/>
                <w:szCs w:val="16"/>
                <w:color w:val="auto"/>
              </w:rPr>
            </w:pPr>
            <w:hyperlink r:id="rId102">
              <w:r>
                <w:rPr>
                  <w:rFonts w:ascii="Arial" w:cs="Arial" w:eastAsia="Arial" w:hAnsi="Arial"/>
                  <w:sz w:val="16"/>
                  <w:szCs w:val="16"/>
                  <w:color w:val="auto"/>
                </w:rPr>
                <w:t>Form of Voting and Support Agreement.</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6"/>
                <w:szCs w:val="16"/>
                <w:color w:val="auto"/>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001-41711</w:t>
            </w: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jc w:val="center"/>
              <w:ind w:right="60"/>
              <w:spacing w:after="0"/>
              <w:rPr>
                <w:sz w:val="20"/>
                <w:szCs w:val="20"/>
                <w:color w:val="auto"/>
              </w:rPr>
            </w:pPr>
            <w:r>
              <w:rPr>
                <w:rFonts w:ascii="Arial" w:cs="Arial" w:eastAsia="Arial" w:hAnsi="Arial"/>
                <w:sz w:val="16"/>
                <w:szCs w:val="16"/>
                <w:color w:val="auto"/>
                <w:w w:val="99"/>
              </w:rPr>
              <w:t>3/5/2026</w:t>
            </w:r>
          </w:p>
        </w:tc>
      </w:tr>
      <w:tr>
        <w:trPr>
          <w:trHeight w:val="215"/>
        </w:trPr>
        <w:tc>
          <w:tcPr>
            <w:tcW w:w="780" w:type="dxa"/>
            <w:vAlign w:val="bottom"/>
          </w:tcPr>
          <w:p>
            <w:pPr>
              <w:jc w:val="center"/>
              <w:spacing w:after="0"/>
              <w:rPr>
                <w:rFonts w:ascii="Arial" w:cs="Arial" w:eastAsia="Arial" w:hAnsi="Arial"/>
                <w:sz w:val="16"/>
                <w:szCs w:val="16"/>
                <w:color w:val="auto"/>
              </w:rPr>
            </w:pPr>
            <w:hyperlink r:id="rId103">
              <w:r>
                <w:rPr>
                  <w:rFonts w:ascii="Arial" w:cs="Arial" w:eastAsia="Arial" w:hAnsi="Arial"/>
                  <w:sz w:val="16"/>
                  <w:szCs w:val="16"/>
                  <w:color w:val="auto"/>
                </w:rPr>
                <w:t>10.4</w:t>
              </w:r>
            </w:hyperlink>
          </w:p>
        </w:tc>
        <w:tc>
          <w:tcPr>
            <w:tcW w:w="100" w:type="dxa"/>
            <w:vAlign w:val="bottom"/>
          </w:tcPr>
          <w:p>
            <w:pPr>
              <w:spacing w:after="0"/>
              <w:rPr>
                <w:sz w:val="18"/>
                <w:szCs w:val="18"/>
                <w:color w:val="auto"/>
              </w:rPr>
            </w:pPr>
          </w:p>
        </w:tc>
        <w:tc>
          <w:tcPr>
            <w:tcW w:w="6680" w:type="dxa"/>
            <w:vAlign w:val="bottom"/>
            <w:gridSpan w:val="2"/>
          </w:tcPr>
          <w:p>
            <w:pPr>
              <w:ind w:left="20"/>
              <w:spacing w:after="0"/>
              <w:rPr>
                <w:rFonts w:ascii="Arial" w:cs="Arial" w:eastAsia="Arial" w:hAnsi="Arial"/>
                <w:sz w:val="16"/>
                <w:szCs w:val="16"/>
                <w:color w:val="auto"/>
              </w:rPr>
            </w:pPr>
            <w:hyperlink r:id="rId103">
              <w:r>
                <w:rPr>
                  <w:rFonts w:ascii="Arial" w:cs="Arial" w:eastAsia="Arial" w:hAnsi="Arial"/>
                  <w:sz w:val="16"/>
                  <w:szCs w:val="16"/>
                  <w:color w:val="auto"/>
                </w:rPr>
                <w:t>Employment Agreement by and between USA Rare Earth, Inc. and Valerie Jacob</w:t>
              </w:r>
            </w:hyperlink>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10-K</w:t>
            </w:r>
          </w:p>
        </w:tc>
        <w:tc>
          <w:tcPr>
            <w:tcW w:w="1080" w:type="dxa"/>
            <w:vAlign w:val="bottom"/>
          </w:tcPr>
          <w:p>
            <w:pPr>
              <w:jc w:val="center"/>
              <w:spacing w:after="0"/>
              <w:rPr>
                <w:sz w:val="20"/>
                <w:szCs w:val="20"/>
                <w:color w:val="auto"/>
              </w:rPr>
            </w:pPr>
            <w:r>
              <w:rPr>
                <w:rFonts w:ascii="Arial" w:cs="Arial" w:eastAsia="Arial" w:hAnsi="Arial"/>
                <w:sz w:val="16"/>
                <w:szCs w:val="16"/>
                <w:color w:val="auto"/>
              </w:rPr>
              <w:t>001-41711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80"/>
              <w:spacing w:after="0"/>
              <w:rPr>
                <w:sz w:val="20"/>
                <w:szCs w:val="20"/>
                <w:color w:val="auto"/>
              </w:rPr>
            </w:pPr>
            <w:r>
              <w:rPr>
                <w:rFonts w:ascii="Arial" w:cs="Arial" w:eastAsia="Arial" w:hAnsi="Arial"/>
                <w:sz w:val="16"/>
                <w:szCs w:val="16"/>
                <w:color w:val="auto"/>
              </w:rPr>
              <w:t>3/30/2026</w:t>
            </w:r>
          </w:p>
        </w:tc>
      </w:tr>
      <w:tr>
        <w:trPr>
          <w:trHeight w:val="163"/>
        </w:trPr>
        <w:tc>
          <w:tcPr>
            <w:tcW w:w="780" w:type="dxa"/>
            <w:vAlign w:val="bottom"/>
            <w:shd w:val="clear" w:color="auto" w:fill="BFE4FF"/>
          </w:tcPr>
          <w:p>
            <w:pPr>
              <w:jc w:val="center"/>
              <w:spacing w:after="0" w:line="163" w:lineRule="exact"/>
              <w:rPr>
                <w:rFonts w:ascii="Arial" w:cs="Arial" w:eastAsia="Arial" w:hAnsi="Arial"/>
                <w:sz w:val="16"/>
                <w:szCs w:val="16"/>
                <w:color w:val="auto"/>
              </w:rPr>
            </w:pPr>
            <w:r>
              <w:rPr>
                <w:rFonts w:ascii="Arial" w:cs="Arial" w:eastAsia="Arial" w:hAnsi="Arial"/>
                <w:sz w:val="16"/>
                <w:szCs w:val="16"/>
                <w:color w:val="auto"/>
              </w:rPr>
              <w:t>10.</w:t>
            </w:r>
            <w:hyperlink r:id="rId104">
              <w:r>
                <w:rPr>
                  <w:rFonts w:ascii="Arial" w:cs="Arial" w:eastAsia="Arial" w:hAnsi="Arial"/>
                  <w:sz w:val="16"/>
                  <w:szCs w:val="16"/>
                  <w:color w:val="auto"/>
                </w:rPr>
                <w:t>5</w:t>
              </w:r>
            </w:hyperlink>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3" w:lineRule="exact"/>
              <w:rPr>
                <w:rFonts w:ascii="Arial" w:cs="Arial" w:eastAsia="Arial" w:hAnsi="Arial"/>
                <w:sz w:val="16"/>
                <w:szCs w:val="16"/>
                <w:color w:val="auto"/>
              </w:rPr>
            </w:pPr>
            <w:hyperlink r:id="rId104">
              <w:r>
                <w:rPr>
                  <w:rFonts w:ascii="Arial" w:cs="Arial" w:eastAsia="Arial" w:hAnsi="Arial"/>
                  <w:sz w:val="16"/>
                  <w:szCs w:val="16"/>
                  <w:color w:val="auto"/>
                </w:rPr>
                <w:t>Form  of  Voting  and  Support  Agreement,  by  and  among  SVRE  and  certain  USAR</w:t>
              </w:r>
            </w:hyperlink>
          </w:p>
        </w:tc>
        <w:tc>
          <w:tcPr>
            <w:tcW w:w="660" w:type="dxa"/>
            <w:vAlign w:val="bottom"/>
            <w:gridSpan w:val="2"/>
            <w:shd w:val="clear" w:color="auto" w:fill="BFE4FF"/>
          </w:tcPr>
          <w:p>
            <w:pPr>
              <w:jc w:val="center"/>
              <w:ind w:right="80"/>
              <w:spacing w:after="0" w:line="163" w:lineRule="exact"/>
              <w:rPr>
                <w:sz w:val="20"/>
                <w:szCs w:val="20"/>
                <w:color w:val="auto"/>
              </w:rPr>
            </w:pPr>
            <w:r>
              <w:rPr>
                <w:rFonts w:ascii="Arial" w:cs="Arial" w:eastAsia="Arial" w:hAnsi="Arial"/>
                <w:sz w:val="16"/>
                <w:szCs w:val="16"/>
                <w:color w:val="auto"/>
              </w:rPr>
              <w:t>8-K</w:t>
            </w:r>
          </w:p>
        </w:tc>
        <w:tc>
          <w:tcPr>
            <w:tcW w:w="10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001-41711</w:t>
            </w: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10.1</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jc w:val="center"/>
              <w:ind w:right="80"/>
              <w:spacing w:after="0" w:line="163" w:lineRule="exact"/>
              <w:rPr>
                <w:sz w:val="20"/>
                <w:szCs w:val="20"/>
                <w:color w:val="auto"/>
              </w:rPr>
            </w:pPr>
            <w:r>
              <w:rPr>
                <w:rFonts w:ascii="Arial" w:cs="Arial" w:eastAsia="Arial" w:hAnsi="Arial"/>
                <w:sz w:val="16"/>
                <w:szCs w:val="16"/>
                <w:color w:val="auto"/>
              </w:rPr>
              <w:t>4/20/2026</w:t>
            </w:r>
          </w:p>
        </w:tc>
      </w:tr>
      <w:tr>
        <w:trPr>
          <w:trHeight w:val="216"/>
        </w:trPr>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680" w:type="dxa"/>
            <w:vAlign w:val="bottom"/>
            <w:gridSpan w:val="2"/>
            <w:shd w:val="clear" w:color="auto" w:fill="BFE4FF"/>
          </w:tcPr>
          <w:p>
            <w:pPr>
              <w:ind w:left="20"/>
              <w:spacing w:after="0"/>
              <w:rPr>
                <w:rFonts w:ascii="Arial" w:cs="Arial" w:eastAsia="Arial" w:hAnsi="Arial"/>
                <w:sz w:val="16"/>
                <w:szCs w:val="16"/>
                <w:color w:val="auto"/>
              </w:rPr>
            </w:pPr>
            <w:hyperlink r:id="rId104">
              <w:r>
                <w:rPr>
                  <w:rFonts w:ascii="Arial" w:cs="Arial" w:eastAsia="Arial" w:hAnsi="Arial"/>
                  <w:sz w:val="16"/>
                  <w:szCs w:val="16"/>
                  <w:color w:val="auto"/>
                </w:rPr>
                <w:t>stockholders</w:t>
              </w:r>
            </w:hyperlink>
          </w:p>
        </w:tc>
        <w:tc>
          <w:tcPr>
            <w:tcW w:w="5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162"/>
        </w:trPr>
        <w:tc>
          <w:tcPr>
            <w:tcW w:w="780" w:type="dxa"/>
            <w:vAlign w:val="bottom"/>
          </w:tcPr>
          <w:p>
            <w:pPr>
              <w:jc w:val="center"/>
              <w:spacing w:after="0" w:line="162" w:lineRule="exact"/>
              <w:rPr>
                <w:rFonts w:ascii="Arial" w:cs="Arial" w:eastAsia="Arial" w:hAnsi="Arial"/>
                <w:sz w:val="16"/>
                <w:szCs w:val="16"/>
                <w:color w:val="auto"/>
              </w:rPr>
            </w:pPr>
            <w:r>
              <w:rPr>
                <w:rFonts w:ascii="Arial" w:cs="Arial" w:eastAsia="Arial" w:hAnsi="Arial"/>
                <w:sz w:val="16"/>
                <w:szCs w:val="16"/>
                <w:color w:val="auto"/>
              </w:rPr>
              <w:t>10.</w:t>
            </w:r>
            <w:hyperlink r:id="rId105">
              <w:r>
                <w:rPr>
                  <w:rFonts w:ascii="Arial" w:cs="Arial" w:eastAsia="Arial" w:hAnsi="Arial"/>
                  <w:sz w:val="16"/>
                  <w:szCs w:val="16"/>
                  <w:color w:val="auto"/>
                </w:rPr>
                <w:t>6</w:t>
              </w:r>
            </w:hyperlink>
          </w:p>
        </w:tc>
        <w:tc>
          <w:tcPr>
            <w:tcW w:w="100" w:type="dxa"/>
            <w:vAlign w:val="bottom"/>
          </w:tcPr>
          <w:p>
            <w:pPr>
              <w:spacing w:after="0"/>
              <w:rPr>
                <w:sz w:val="14"/>
                <w:szCs w:val="14"/>
                <w:color w:val="auto"/>
              </w:rPr>
            </w:pPr>
          </w:p>
        </w:tc>
        <w:tc>
          <w:tcPr>
            <w:tcW w:w="6680" w:type="dxa"/>
            <w:vAlign w:val="bottom"/>
            <w:gridSpan w:val="2"/>
          </w:tcPr>
          <w:p>
            <w:pPr>
              <w:ind w:left="20"/>
              <w:spacing w:after="0" w:line="162" w:lineRule="exact"/>
              <w:rPr>
                <w:rFonts w:ascii="Arial" w:cs="Arial" w:eastAsia="Arial" w:hAnsi="Arial"/>
                <w:sz w:val="16"/>
                <w:szCs w:val="16"/>
                <w:color w:val="auto"/>
              </w:rPr>
            </w:pPr>
            <w:hyperlink r:id="rId105">
              <w:r>
                <w:rPr>
                  <w:rFonts w:ascii="Arial" w:cs="Arial" w:eastAsia="Arial" w:hAnsi="Arial"/>
                  <w:sz w:val="16"/>
                  <w:szCs w:val="16"/>
                  <w:color w:val="auto"/>
                </w:rPr>
                <w:t>Form of Registration Rights Agreement, by and among USAR, Serra Verde Rare Earths</w:t>
              </w:r>
            </w:hyperlink>
          </w:p>
        </w:tc>
        <w:tc>
          <w:tcPr>
            <w:tcW w:w="66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rPr>
              <w:t>8-K</w:t>
            </w: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auto"/>
              </w:rPr>
              <w:t>001-41711</w:t>
            </w:r>
          </w:p>
        </w:tc>
        <w:tc>
          <w:tcPr>
            <w:tcW w:w="100" w:type="dxa"/>
            <w:vAlign w:val="bottom"/>
          </w:tcPr>
          <w:p>
            <w:pPr>
              <w:spacing w:after="0"/>
              <w:rPr>
                <w:sz w:val="14"/>
                <w:szCs w:val="14"/>
                <w:color w:val="auto"/>
              </w:rPr>
            </w:pPr>
          </w:p>
        </w:tc>
        <w:tc>
          <w:tcPr>
            <w:tcW w:w="680" w:type="dxa"/>
            <w:vAlign w:val="bottom"/>
          </w:tcPr>
          <w:p>
            <w:pPr>
              <w:jc w:val="center"/>
              <w:spacing w:after="0" w:line="162"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line="162" w:lineRule="exact"/>
              <w:rPr>
                <w:sz w:val="20"/>
                <w:szCs w:val="20"/>
                <w:color w:val="auto"/>
              </w:rPr>
            </w:pPr>
            <w:r>
              <w:rPr>
                <w:rFonts w:ascii="Arial" w:cs="Arial" w:eastAsia="Arial" w:hAnsi="Arial"/>
                <w:sz w:val="16"/>
                <w:szCs w:val="16"/>
                <w:color w:val="auto"/>
              </w:rPr>
              <w:t>4/20/2026</w:t>
            </w:r>
          </w:p>
        </w:tc>
      </w:tr>
      <w:tr>
        <w:trPr>
          <w:trHeight w:val="215"/>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gridSpan w:val="2"/>
          </w:tcPr>
          <w:p>
            <w:pPr>
              <w:ind w:left="20"/>
              <w:spacing w:after="0"/>
              <w:rPr>
                <w:rFonts w:ascii="Arial" w:cs="Arial" w:eastAsia="Arial" w:hAnsi="Arial"/>
                <w:sz w:val="16"/>
                <w:szCs w:val="16"/>
                <w:color w:val="auto"/>
              </w:rPr>
            </w:pPr>
            <w:hyperlink r:id="rId105">
              <w:r>
                <w:rPr>
                  <w:rFonts w:ascii="Arial" w:cs="Arial" w:eastAsia="Arial" w:hAnsi="Arial"/>
                  <w:sz w:val="16"/>
                  <w:szCs w:val="16"/>
                  <w:color w:val="auto"/>
                </w:rPr>
                <w:t>Ltd., as the Seller Representative, and certain SVRE shareholders</w:t>
              </w:r>
            </w:hyperlink>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3"/>
        </w:trPr>
        <w:tc>
          <w:tcPr>
            <w:tcW w:w="7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31.1*</w:t>
            </w:r>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3" w:lineRule="exact"/>
              <w:rPr>
                <w:sz w:val="20"/>
                <w:szCs w:val="20"/>
                <w:color w:val="auto"/>
              </w:rPr>
            </w:pPr>
            <w:r>
              <w:rPr>
                <w:rFonts w:ascii="Arial" w:cs="Arial" w:eastAsia="Arial" w:hAnsi="Arial"/>
                <w:sz w:val="16"/>
                <w:szCs w:val="16"/>
                <w:color w:val="auto"/>
              </w:rPr>
              <w:t>Certification of Principal Executive Officer Pursuant to Securities Exchange Act Rules 13a-</w:t>
            </w:r>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216"/>
        </w:trPr>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6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14(a), as adopted Pursuant to Section 302 of the Sarbanes-Oxley Act of 2002.</w:t>
            </w:r>
          </w:p>
        </w:tc>
        <w:tc>
          <w:tcPr>
            <w:tcW w:w="5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162"/>
        </w:trPr>
        <w:tc>
          <w:tcPr>
            <w:tcW w:w="780" w:type="dxa"/>
            <w:vAlign w:val="bottom"/>
          </w:tcPr>
          <w:p>
            <w:pPr>
              <w:jc w:val="center"/>
              <w:spacing w:after="0" w:line="162"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4"/>
                <w:szCs w:val="14"/>
                <w:color w:val="auto"/>
              </w:rPr>
            </w:pPr>
          </w:p>
        </w:tc>
        <w:tc>
          <w:tcPr>
            <w:tcW w:w="66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Certification of Principal Financial Officer Pursuant to Securities Exchange Act Rules 13a-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5"/>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14(a), as adopted Pursuant to Section 302 of the Sarbanes-Oxley Act of 2002.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3"/>
        </w:trPr>
        <w:tc>
          <w:tcPr>
            <w:tcW w:w="780" w:type="dxa"/>
            <w:vAlign w:val="bottom"/>
            <w:shd w:val="clear" w:color="auto" w:fill="BFE4FF"/>
          </w:tcPr>
          <w:p>
            <w:pPr>
              <w:jc w:val="center"/>
              <w:spacing w:after="0" w:line="163" w:lineRule="exact"/>
              <w:rPr>
                <w:sz w:val="20"/>
                <w:szCs w:val="20"/>
                <w:color w:val="auto"/>
              </w:rPr>
            </w:pPr>
            <w:r>
              <w:rPr>
                <w:rFonts w:ascii="Arial" w:cs="Arial" w:eastAsia="Arial" w:hAnsi="Arial"/>
                <w:sz w:val="16"/>
                <w:szCs w:val="16"/>
                <w:color w:val="auto"/>
              </w:rPr>
              <w:t>32.1**</w:t>
            </w:r>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3" w:lineRule="exact"/>
              <w:rPr>
                <w:sz w:val="20"/>
                <w:szCs w:val="20"/>
                <w:color w:val="auto"/>
              </w:rPr>
            </w:pPr>
            <w:r>
              <w:rPr>
                <w:rFonts w:ascii="Arial" w:cs="Arial" w:eastAsia="Arial" w:hAnsi="Arial"/>
                <w:sz w:val="16"/>
                <w:szCs w:val="16"/>
                <w:color w:val="auto"/>
              </w:rPr>
              <w:t>Certification of Principal Executive Officer and Principal Financial Officer Pursuant to 18</w:t>
            </w:r>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162"/>
        </w:trPr>
        <w:tc>
          <w:tcPr>
            <w:tcW w:w="7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680" w:type="dxa"/>
            <w:vAlign w:val="bottom"/>
            <w:gridSpan w:val="2"/>
            <w:shd w:val="clear" w:color="auto" w:fill="BFE4FF"/>
          </w:tcPr>
          <w:p>
            <w:pPr>
              <w:ind w:left="20"/>
              <w:spacing w:after="0" w:line="162" w:lineRule="exact"/>
              <w:rPr>
                <w:sz w:val="20"/>
                <w:szCs w:val="20"/>
                <w:color w:val="auto"/>
              </w:rPr>
            </w:pPr>
            <w:r>
              <w:rPr>
                <w:rFonts w:ascii="Arial" w:cs="Arial" w:eastAsia="Arial" w:hAnsi="Arial"/>
                <w:sz w:val="16"/>
                <w:szCs w:val="16"/>
                <w:color w:val="auto"/>
              </w:rPr>
              <w:t>U.S.C. Section 1350, as adopted pursuant to Section 906 of the Sarbanes-Oxley Act of</w:t>
            </w:r>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216"/>
        </w:trPr>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580" w:type="dxa"/>
            <w:vAlign w:val="bottom"/>
            <w:shd w:val="clear" w:color="auto" w:fill="BFE4FF"/>
          </w:tcPr>
          <w:p>
            <w:pPr>
              <w:ind w:left="20"/>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BFE4FF"/>
          </w:tcPr>
          <w:p>
            <w:pPr>
              <w:spacing w:after="0"/>
              <w:rPr>
                <w:sz w:val="18"/>
                <w:szCs w:val="18"/>
                <w:color w:val="auto"/>
              </w:rPr>
            </w:pPr>
          </w:p>
        </w:tc>
        <w:tc>
          <w:tcPr>
            <w:tcW w:w="5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bl>
    <w:p>
      <w:pPr>
        <w:ind w:left="900" w:right="3800" w:hanging="642"/>
        <w:spacing w:after="0" w:line="24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Inline XBRL Document Set for the consolidated financial statements and accompanying notes in Part I, “Financial Information” of this Quarterly Report on Form 10-Q.</w:t>
      </w:r>
    </w:p>
    <w:p>
      <w:pPr>
        <w:ind w:left="900" w:right="3800" w:hanging="642"/>
        <w:spacing w:after="0" w:line="251"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 xml:space="preserve">  Filed herewith.</w:t>
      </w: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6000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319405</wp:posOffset>
            </wp:positionV>
            <wp:extent cx="70465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USA Rare Earth, Inc. | Q1'2026 Quarterly Report (Form 10-Q) </w:t>
      </w:r>
      <w:r>
        <w:rPr>
          <w:rFonts w:ascii="Arial" w:cs="Arial" w:eastAsia="Arial" w:hAnsi="Arial"/>
          <w:sz w:val="18"/>
          <w:szCs w:val="18"/>
          <w:color w:val="auto"/>
        </w:rPr>
        <w:t>|</w:t>
      </w:r>
      <w:r>
        <w:rPr>
          <w:rFonts w:ascii="Arial" w:cs="Arial" w:eastAsia="Arial" w:hAnsi="Arial"/>
          <w:sz w:val="18"/>
          <w:szCs w:val="18"/>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0A2299"/>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320" w:type="dxa"/>
            <w:vAlign w:val="bottom"/>
            <w:gridSpan w:val="2"/>
          </w:tcPr>
          <w:p>
            <w:pPr>
              <w:ind w:left="1940"/>
              <w:spacing w:after="0"/>
              <w:rPr>
                <w:sz w:val="20"/>
                <w:szCs w:val="20"/>
                <w:color w:val="auto"/>
              </w:rPr>
            </w:pPr>
            <w:r>
              <w:rPr>
                <w:rFonts w:ascii="Arial" w:cs="Arial" w:eastAsia="Arial" w:hAnsi="Arial"/>
                <w:sz w:val="16"/>
                <w:szCs w:val="16"/>
                <w:b w:val="1"/>
                <w:bCs w:val="1"/>
                <w:color w:val="auto"/>
              </w:rPr>
              <w:t>USA Rare Earth, Inc.</w:t>
            </w:r>
          </w:p>
        </w:tc>
      </w:tr>
      <w:tr>
        <w:trPr>
          <w:trHeight w:val="514"/>
        </w:trPr>
        <w:tc>
          <w:tcPr>
            <w:tcW w:w="480" w:type="dxa"/>
            <w:vAlign w:val="bottom"/>
          </w:tcPr>
          <w:p>
            <w:pPr>
              <w:spacing w:after="0"/>
              <w:rPr>
                <w:sz w:val="20"/>
                <w:szCs w:val="20"/>
                <w:color w:val="auto"/>
              </w:rPr>
            </w:pPr>
            <w:r>
              <w:rPr>
                <w:rFonts w:ascii="Arial" w:cs="Arial" w:eastAsia="Arial" w:hAnsi="Arial"/>
                <w:sz w:val="16"/>
                <w:szCs w:val="16"/>
                <w:color w:val="auto"/>
              </w:rPr>
              <w:t>Date:</w:t>
            </w:r>
          </w:p>
        </w:tc>
        <w:tc>
          <w:tcPr>
            <w:tcW w:w="3020" w:type="dxa"/>
            <w:vAlign w:val="bottom"/>
          </w:tcPr>
          <w:p>
            <w:pPr>
              <w:ind w:left="80"/>
              <w:spacing w:after="0"/>
              <w:rPr>
                <w:sz w:val="20"/>
                <w:szCs w:val="20"/>
                <w:color w:val="auto"/>
              </w:rPr>
            </w:pPr>
            <w:r>
              <w:rPr>
                <w:rFonts w:ascii="Arial" w:cs="Arial" w:eastAsia="Arial" w:hAnsi="Arial"/>
                <w:sz w:val="16"/>
                <w:szCs w:val="16"/>
                <w:color w:val="auto"/>
              </w:rPr>
              <w:t>May 14, 2026</w:t>
            </w:r>
          </w:p>
        </w:tc>
        <w:tc>
          <w:tcPr>
            <w:tcW w:w="2360" w:type="dxa"/>
            <w:vAlign w:val="bottom"/>
          </w:tcPr>
          <w:p>
            <w:pPr>
              <w:ind w:left="1940"/>
              <w:spacing w:after="0"/>
              <w:rPr>
                <w:sz w:val="20"/>
                <w:szCs w:val="20"/>
                <w:color w:val="auto"/>
              </w:rPr>
            </w:pPr>
            <w:r>
              <w:rPr>
                <w:rFonts w:ascii="Arial" w:cs="Arial" w:eastAsia="Arial" w:hAnsi="Arial"/>
                <w:sz w:val="16"/>
                <w:szCs w:val="16"/>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BARBARA HUMPTON</w:t>
            </w:r>
          </w:p>
        </w:tc>
      </w:tr>
      <w:tr>
        <w:trPr>
          <w:trHeight w:val="228"/>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Barbara Humpton</w:t>
            </w:r>
          </w:p>
        </w:tc>
      </w:tr>
      <w:tr>
        <w:trPr>
          <w:trHeight w:val="243"/>
        </w:trPr>
        <w:tc>
          <w:tcPr>
            <w:tcW w:w="4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4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22"/>
        </w:trPr>
        <w:tc>
          <w:tcPr>
            <w:tcW w:w="480" w:type="dxa"/>
            <w:vAlign w:val="bottom"/>
          </w:tcPr>
          <w:p>
            <w:pPr>
              <w:spacing w:after="0"/>
              <w:rPr>
                <w:sz w:val="20"/>
                <w:szCs w:val="20"/>
                <w:color w:val="auto"/>
              </w:rPr>
            </w:pPr>
            <w:r>
              <w:rPr>
                <w:rFonts w:ascii="Arial" w:cs="Arial" w:eastAsia="Arial" w:hAnsi="Arial"/>
                <w:sz w:val="16"/>
                <w:szCs w:val="16"/>
                <w:color w:val="auto"/>
              </w:rPr>
              <w:t>Date:</w:t>
            </w:r>
          </w:p>
        </w:tc>
        <w:tc>
          <w:tcPr>
            <w:tcW w:w="3020" w:type="dxa"/>
            <w:vAlign w:val="bottom"/>
          </w:tcPr>
          <w:p>
            <w:pPr>
              <w:ind w:left="80"/>
              <w:spacing w:after="0"/>
              <w:rPr>
                <w:sz w:val="20"/>
                <w:szCs w:val="20"/>
                <w:color w:val="auto"/>
              </w:rPr>
            </w:pPr>
            <w:r>
              <w:rPr>
                <w:rFonts w:ascii="Arial" w:cs="Arial" w:eastAsia="Arial" w:hAnsi="Arial"/>
                <w:sz w:val="16"/>
                <w:szCs w:val="16"/>
                <w:color w:val="auto"/>
              </w:rPr>
              <w:t>May 14, 2026</w:t>
            </w:r>
          </w:p>
        </w:tc>
        <w:tc>
          <w:tcPr>
            <w:tcW w:w="2360" w:type="dxa"/>
            <w:vAlign w:val="bottom"/>
          </w:tcPr>
          <w:p>
            <w:pPr>
              <w:ind w:left="1940"/>
              <w:spacing w:after="0"/>
              <w:rPr>
                <w:sz w:val="20"/>
                <w:szCs w:val="20"/>
                <w:color w:val="auto"/>
              </w:rPr>
            </w:pPr>
            <w:r>
              <w:rPr>
                <w:rFonts w:ascii="Arial" w:cs="Arial" w:eastAsia="Arial" w:hAnsi="Arial"/>
                <w:sz w:val="16"/>
                <w:szCs w:val="16"/>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ROBERT STEELE JR.</w:t>
            </w:r>
          </w:p>
        </w:tc>
      </w:tr>
      <w:tr>
        <w:trPr>
          <w:trHeight w:val="228"/>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William Robert Steele Jr.</w:t>
            </w:r>
          </w:p>
        </w:tc>
      </w:tr>
      <w:tr>
        <w:trPr>
          <w:trHeight w:val="243"/>
        </w:trPr>
        <w:tc>
          <w:tcPr>
            <w:tcW w:w="4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4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4133215</wp:posOffset>
            </wp:positionV>
            <wp:extent cx="70465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USA Rare Earth, Inc. | Q1'2026 Quarterly Report (Form 10-Q) | 37</w:t>
      </w:r>
    </w:p>
    <w:p>
      <w:pPr>
        <w:sectPr>
          <w:pgSz w:w="11900" w:h="16838" w:orient="portrait"/>
          <w:cols w:equalWidth="0" w:num="1">
            <w:col w:w="11220"/>
          </w:cols>
          <w:pgMar w:left="320" w:top="124"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left="340" w:right="1640"/>
        <w:spacing w:after="0" w:line="32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OR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Barbara Humpton, certify that:</w:t>
      </w:r>
    </w:p>
    <w:p>
      <w:pPr>
        <w:spacing w:after="0" w:line="252" w:lineRule="exact"/>
        <w:rPr>
          <w:sz w:val="20"/>
          <w:szCs w:val="20"/>
          <w:color w:val="auto"/>
        </w:rPr>
      </w:pPr>
    </w:p>
    <w:p>
      <w:pPr>
        <w:ind w:left="680" w:hanging="348"/>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Rare Earth, Inc. for the period ended March 31, 2026;</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42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287"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jc w:val="both"/>
        <w:ind w:left="1300" w:hanging="320"/>
        <w:spacing w:after="0" w:line="268" w:lineRule="auto"/>
        <w:tabs>
          <w:tab w:leader="none" w:pos="13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3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14, 2026</w:t>
            </w:r>
          </w:p>
        </w:tc>
        <w:tc>
          <w:tcPr>
            <w:tcW w:w="3860" w:type="dxa"/>
            <w:vAlign w:val="bottom"/>
          </w:tcPr>
          <w:p>
            <w:pPr>
              <w:ind w:left="20"/>
              <w:spacing w:after="0"/>
              <w:rPr>
                <w:sz w:val="20"/>
                <w:szCs w:val="20"/>
                <w:color w:val="auto"/>
              </w:rPr>
            </w:pPr>
            <w:r>
              <w:rPr>
                <w:rFonts w:ascii="Arial" w:cs="Arial" w:eastAsia="Arial" w:hAnsi="Arial"/>
                <w:sz w:val="18"/>
                <w:szCs w:val="18"/>
                <w:color w:val="auto"/>
              </w:rPr>
              <w:t>/s/ BARBARA HUMPTON</w:t>
            </w:r>
          </w:p>
        </w:tc>
      </w:tr>
      <w:tr>
        <w:trPr>
          <w:trHeight w:val="23"/>
        </w:trPr>
        <w:tc>
          <w:tcPr>
            <w:tcW w:w="60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8"/>
        </w:trPr>
        <w:tc>
          <w:tcPr>
            <w:tcW w:w="6060" w:type="dxa"/>
            <w:vAlign w:val="bottom"/>
          </w:tcPr>
          <w:p>
            <w:pPr>
              <w:ind w:left="5280"/>
              <w:spacing w:after="0"/>
              <w:rPr>
                <w:sz w:val="20"/>
                <w:szCs w:val="20"/>
                <w:color w:val="auto"/>
              </w:rPr>
            </w:pPr>
            <w:r>
              <w:rPr>
                <w:rFonts w:ascii="Arial" w:cs="Arial" w:eastAsia="Arial" w:hAnsi="Arial"/>
                <w:sz w:val="18"/>
                <w:szCs w:val="18"/>
                <w:color w:val="auto"/>
              </w:rPr>
              <w:t>Name:</w:t>
            </w:r>
          </w:p>
        </w:tc>
        <w:tc>
          <w:tcPr>
            <w:tcW w:w="3860" w:type="dxa"/>
            <w:vAlign w:val="bottom"/>
          </w:tcPr>
          <w:p>
            <w:pPr>
              <w:ind w:left="20"/>
              <w:spacing w:after="0"/>
              <w:rPr>
                <w:sz w:val="20"/>
                <w:szCs w:val="20"/>
                <w:color w:val="auto"/>
              </w:rPr>
            </w:pPr>
            <w:r>
              <w:rPr>
                <w:rFonts w:ascii="Arial" w:cs="Arial" w:eastAsia="Arial" w:hAnsi="Arial"/>
                <w:sz w:val="18"/>
                <w:szCs w:val="18"/>
                <w:color w:val="auto"/>
              </w:rPr>
              <w:t>Barbara Humpton</w:t>
            </w:r>
          </w:p>
        </w:tc>
      </w:tr>
      <w:tr>
        <w:trPr>
          <w:trHeight w:val="270"/>
        </w:trPr>
        <w:tc>
          <w:tcPr>
            <w:tcW w:w="6060" w:type="dxa"/>
            <w:vAlign w:val="bottom"/>
          </w:tcPr>
          <w:p>
            <w:pPr>
              <w:ind w:left="5280"/>
              <w:spacing w:after="0"/>
              <w:rPr>
                <w:sz w:val="20"/>
                <w:szCs w:val="20"/>
                <w:color w:val="auto"/>
              </w:rPr>
            </w:pPr>
            <w:r>
              <w:rPr>
                <w:rFonts w:ascii="Arial" w:cs="Arial" w:eastAsia="Arial" w:hAnsi="Arial"/>
                <w:sz w:val="18"/>
                <w:szCs w:val="18"/>
                <w:color w:val="auto"/>
              </w:rPr>
              <w:t>Title:</w:t>
            </w:r>
          </w:p>
        </w:tc>
        <w:tc>
          <w:tcPr>
            <w:tcW w:w="38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606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41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left="340" w:right="1640"/>
        <w:spacing w:after="0" w:line="325" w:lineRule="auto"/>
        <w:rPr>
          <w:sz w:val="20"/>
          <w:szCs w:val="20"/>
          <w:color w:val="auto"/>
        </w:rPr>
      </w:pPr>
      <w:r>
        <w:rPr>
          <w:rFonts w:ascii="Arial" w:cs="Arial" w:eastAsia="Arial" w:hAnsi="Arial"/>
          <w:sz w:val="18"/>
          <w:szCs w:val="18"/>
          <w:b w:val="1"/>
          <w:bCs w:val="1"/>
          <w:color w:val="auto"/>
        </w:rPr>
        <w:t>CERTIFICATION OF PRINCIPAL FINANCIAL AND ACCOUNTING OFFICER PURSUANT TO EXCHANGE ACT RULE 13a-14(a) OR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William Robert Steele Jr., certify that:</w:t>
      </w:r>
    </w:p>
    <w:p>
      <w:pPr>
        <w:spacing w:after="0" w:line="252" w:lineRule="exact"/>
        <w:rPr>
          <w:sz w:val="20"/>
          <w:szCs w:val="20"/>
          <w:color w:val="auto"/>
        </w:rPr>
      </w:pPr>
    </w:p>
    <w:p>
      <w:pPr>
        <w:ind w:left="680" w:hanging="348"/>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Rare Earth, Inc. for the period ended March 31, 2026;</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3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42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34"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3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287"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jc w:val="both"/>
        <w:ind w:left="1300" w:hanging="320"/>
        <w:spacing w:after="0" w:line="268" w:lineRule="auto"/>
        <w:tabs>
          <w:tab w:leader="none" w:pos="133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33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14, 2026</w:t>
            </w:r>
          </w:p>
        </w:tc>
        <w:tc>
          <w:tcPr>
            <w:tcW w:w="3860" w:type="dxa"/>
            <w:vAlign w:val="bottom"/>
          </w:tcPr>
          <w:p>
            <w:pPr>
              <w:ind w:left="20"/>
              <w:spacing w:after="0"/>
              <w:rPr>
                <w:sz w:val="20"/>
                <w:szCs w:val="20"/>
                <w:color w:val="auto"/>
              </w:rPr>
            </w:pPr>
            <w:r>
              <w:rPr>
                <w:rFonts w:ascii="Arial" w:cs="Arial" w:eastAsia="Arial" w:hAnsi="Arial"/>
                <w:sz w:val="18"/>
                <w:szCs w:val="18"/>
                <w:color w:val="auto"/>
              </w:rPr>
              <w:t>/s/ WILLIAM ROBERT STEELE JR.</w:t>
            </w:r>
          </w:p>
        </w:tc>
      </w:tr>
      <w:tr>
        <w:trPr>
          <w:trHeight w:val="23"/>
        </w:trPr>
        <w:tc>
          <w:tcPr>
            <w:tcW w:w="60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8"/>
        </w:trPr>
        <w:tc>
          <w:tcPr>
            <w:tcW w:w="6060" w:type="dxa"/>
            <w:vAlign w:val="bottom"/>
          </w:tcPr>
          <w:p>
            <w:pPr>
              <w:ind w:left="5280"/>
              <w:spacing w:after="0"/>
              <w:rPr>
                <w:sz w:val="20"/>
                <w:szCs w:val="20"/>
                <w:color w:val="auto"/>
              </w:rPr>
            </w:pPr>
            <w:r>
              <w:rPr>
                <w:rFonts w:ascii="Arial" w:cs="Arial" w:eastAsia="Arial" w:hAnsi="Arial"/>
                <w:sz w:val="18"/>
                <w:szCs w:val="18"/>
                <w:color w:val="auto"/>
              </w:rPr>
              <w:t>Name:</w:t>
            </w:r>
          </w:p>
        </w:tc>
        <w:tc>
          <w:tcPr>
            <w:tcW w:w="3860" w:type="dxa"/>
            <w:vAlign w:val="bottom"/>
          </w:tcPr>
          <w:p>
            <w:pPr>
              <w:ind w:left="20"/>
              <w:spacing w:after="0"/>
              <w:rPr>
                <w:sz w:val="20"/>
                <w:szCs w:val="20"/>
                <w:color w:val="auto"/>
              </w:rPr>
            </w:pPr>
            <w:r>
              <w:rPr>
                <w:rFonts w:ascii="Arial" w:cs="Arial" w:eastAsia="Arial" w:hAnsi="Arial"/>
                <w:sz w:val="18"/>
                <w:szCs w:val="18"/>
                <w:color w:val="auto"/>
              </w:rPr>
              <w:t>William Robert Steele Jr.</w:t>
            </w:r>
          </w:p>
        </w:tc>
      </w:tr>
      <w:tr>
        <w:trPr>
          <w:trHeight w:val="270"/>
        </w:trPr>
        <w:tc>
          <w:tcPr>
            <w:tcW w:w="6060" w:type="dxa"/>
            <w:vAlign w:val="bottom"/>
          </w:tcPr>
          <w:p>
            <w:pPr>
              <w:ind w:left="5280"/>
              <w:spacing w:after="0"/>
              <w:rPr>
                <w:sz w:val="20"/>
                <w:szCs w:val="20"/>
                <w:color w:val="auto"/>
              </w:rPr>
            </w:pPr>
            <w:r>
              <w:rPr>
                <w:rFonts w:ascii="Arial" w:cs="Arial" w:eastAsia="Arial" w:hAnsi="Arial"/>
                <w:sz w:val="18"/>
                <w:szCs w:val="18"/>
                <w:color w:val="auto"/>
              </w:rPr>
              <w:t>Title:</w:t>
            </w:r>
          </w:p>
        </w:tc>
        <w:tc>
          <w:tcPr>
            <w:tcW w:w="38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606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Principal Financial and Accounting Officer</w:t>
            </w:r>
            <w:r>
              <w:rPr>
                <w:rFonts w:ascii="Arial" w:cs="Arial" w:eastAsia="Arial" w:hAnsi="Arial"/>
                <w:sz w:val="16"/>
                <w:szCs w:val="16"/>
                <w:color w:val="auto"/>
              </w:rPr>
              <w:t>)</w:t>
            </w:r>
          </w:p>
        </w:tc>
      </w:tr>
    </w:tbl>
    <w:p>
      <w:pPr>
        <w:sectPr>
          <w:pgSz w:w="11900" w:h="16838" w:orient="portrait"/>
          <w:cols w:equalWidth="0" w:num="1">
            <w:col w:w="11240"/>
          </w:cols>
          <w:pgMar w:left="320" w:top="141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line="32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 set forth in Rule 13a-14(b) of the Securities and Exchange Act of 1934, as amended (the “Exchange Act”), and Section 1350 of Chapter 63 of Title 18 of the United States Code, Barbara Humpton, Chief Executive Officer of USA Rare Earth, Inc., and William Robert Steele Jr., Chief Financial Officer of USA Rare Earth, Inc., each hereby certify that, to the best of his knowledge:</w:t>
      </w:r>
    </w:p>
    <w:p>
      <w:pPr>
        <w:spacing w:after="0" w:line="198" w:lineRule="exact"/>
        <w:rPr>
          <w:sz w:val="20"/>
          <w:szCs w:val="20"/>
          <w:color w:val="auto"/>
        </w:rPr>
      </w:pPr>
    </w:p>
    <w:p>
      <w:pPr>
        <w:jc w:val="both"/>
        <w:ind w:left="660" w:right="20" w:hanging="328"/>
        <w:spacing w:after="0" w:line="287" w:lineRule="auto"/>
        <w:tabs>
          <w:tab w:leader="none" w:pos="6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2026, to which this Certification is attached as Exhibit 32.1 (the “Quarterly Report”), fully complies with the requirements of Section 13(a) or Section 15(d) of the Exchange Act, and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tab/>
        <w:t>May 14, 2026</w:t>
      </w:r>
    </w:p>
    <w:p>
      <w:pPr>
        <w:spacing w:after="0" w:line="10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tab/>
        <w:t>May 14, 2026</w:t>
      </w:r>
    </w:p>
    <w:p>
      <w:pPr>
        <w:spacing w:after="0" w:line="10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BARBARA HUMPTON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24434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Barbara Humpton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ROBERT STEELE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24434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24434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William Robert Steele Jr.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ectPr>
          <w:pgSz w:w="11900" w:h="16838" w:orient="portrait"/>
          <w:cols w:equalWidth="0" w:num="2">
            <w:col w:w="5840" w:space="260"/>
            <w:col w:w="5140"/>
          </w:cols>
          <w:pgMar w:left="320" w:top="1417" w:right="339" w:bottom="1440" w:gutter="0" w:footer="0" w:header="0"/>
          <w:type w:val="continuous"/>
        </w:sectPr>
      </w:pPr>
    </w:p>
    <w:p>
      <w:pPr>
        <w:spacing w:after="0" w:line="185" w:lineRule="exact"/>
        <w:rPr>
          <w:sz w:val="20"/>
          <w:szCs w:val="20"/>
          <w:color w:val="auto"/>
        </w:rPr>
      </w:pPr>
    </w:p>
    <w:p>
      <w:pPr>
        <w:jc w:val="both"/>
        <w:ind w:left="340" w:hanging="332"/>
        <w:spacing w:after="0" w:line="262" w:lineRule="auto"/>
        <w:tabs>
          <w:tab w:leader="none" w:pos="2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USA Rare Earth,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4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01"/>
    </w:lvl>
  </w:abstractNum>
  <w:abstractNum w:abstractNumId="24">
    <w:nsid w:val="71F32454"/>
    <w:multiLevelType w:val="hybridMultilevel"/>
    <w:lvl w:ilvl="0">
      <w:lvlJc w:val="left"/>
      <w:lvlText w:val="*"/>
      <w:numFmt w:val="bullet"/>
      <w:start w:val="1"/>
    </w:lvl>
    <w:lvl w:ilvl="1">
      <w:lvlJc w:val="left"/>
      <w:lvlText w:val="%2"/>
      <w:numFmt w:val="decimal"/>
      <w:start w:val="104"/>
    </w:lvl>
  </w:abstractNum>
  <w:abstractNum w:abstractNumId="25">
    <w:nsid w:val="2CA88611"/>
    <w:multiLevelType w:val="hybridMultilevel"/>
    <w:lvl w:ilvl="0">
      <w:lvlJc w:val="left"/>
      <w:lvlText w:val="**"/>
      <w:numFmt w:val="bullet"/>
      <w:start w:val="1"/>
    </w:lvl>
    <w:lvl w:ilvl="1">
      <w:lvlJc w:val="left"/>
      <w:lvlText w:val="%2"/>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28" Type="http://schemas.openxmlformats.org/officeDocument/2006/relationships/hyperlink" Target="https://www.sec.gov/Archives/edgar/data/1970622/000197062226000021/usar-20251231.htm#i5f43db688c2c433f9d412b16efe97020_2045" TargetMode="External"/><Relationship Id="rId89" Type="http://schemas.openxmlformats.org/officeDocument/2006/relationships/hyperlink" Target="https://www.sec.gov/ix?doc=/Archives/edgar/data/1970622/000197062226000021/usar-20251231.htm" TargetMode="External"/><Relationship Id="rId92" Type="http://schemas.openxmlformats.org/officeDocument/2006/relationships/hyperlink" Target="https://www.sec.gov/Archives/edgar/data/1970622/000121390026055511/ea029029301ex99-1.htm" TargetMode="External"/><Relationship Id="rId93" Type="http://schemas.openxmlformats.org/officeDocument/2006/relationships/hyperlink" Target="https://www.sec.gov/Archives/edgar/data/1970622/000197062226000009/usar-20260128.htm" TargetMode="External"/><Relationship Id="rId96" Type="http://schemas.openxmlformats.org/officeDocument/2006/relationships/hyperlink" Target="https://www.sec.gov/Archives/edgar/data/1970622/000121390026023868/ea028011201ex2-1.htm" TargetMode="External"/><Relationship Id="rId97" Type="http://schemas.openxmlformats.org/officeDocument/2006/relationships/hyperlink" Target="https://www.sec.gov/Archives/edgar/data/1970622/000121390026045706/ea028694001ex2-1.htm" TargetMode="External"/><Relationship Id="rId98" Type="http://schemas.openxmlformats.org/officeDocument/2006/relationships/hyperlink" Target="https://www.sec.gov/Archives/edgar/data/1970622/000121390026007457/ea027403101ex3-1_usarare.htm" TargetMode="External"/><Relationship Id="rId99" Type="http://schemas.openxmlformats.org/officeDocument/2006/relationships/hyperlink" Target="https://www.sec.gov/Archives/edgar/data/1970622/000121390026007457/ea027403101ex4-1_usarare.htm" TargetMode="External"/><Relationship Id="rId100" Type="http://schemas.openxmlformats.org/officeDocument/2006/relationships/hyperlink" Target="https://www.sec.gov/Archives/edgar/data/1970622/000121390026007457/ea027403101ex10-1_usarare.htm" TargetMode="External"/><Relationship Id="rId101" Type="http://schemas.openxmlformats.org/officeDocument/2006/relationships/hyperlink" Target="https://www.sec.gov/Archives/edgar/data/1970622/000121390026007457/ea027403101ex10-2_usarare.htm" TargetMode="External"/><Relationship Id="rId102" Type="http://schemas.openxmlformats.org/officeDocument/2006/relationships/hyperlink" Target="https://www.sec.gov/Archives/edgar/data/1970622/000121390026023868/ea028011201ex10-1.htm" TargetMode="External"/><Relationship Id="rId103" Type="http://schemas.openxmlformats.org/officeDocument/2006/relationships/hyperlink" Target="https://www.sec.gov/Archives/edgar/data/1970622/000197062226000021/ex1045clojacobemployment.htm" TargetMode="External"/><Relationship Id="rId104" Type="http://schemas.openxmlformats.org/officeDocument/2006/relationships/hyperlink" Target="https://www.sec.gov/Archives/edgar/data/1970622/000121390026045706/ea028694001ex10-1.htm" TargetMode="External"/><Relationship Id="rId105" Type="http://schemas.openxmlformats.org/officeDocument/2006/relationships/hyperlink" Target="https://www.sec.gov/Archives/edgar/data/1970622/000121390026045706/ea02869400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2026-05-14T07:42:54Z</dcterms:created>
  <dcterms:modified xsi:type="dcterms:W3CDTF">2026-05-14T07:42:54Z</dcterms:modified>
</cp:coreProperties>
</file>