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880" w:hanging="3812"/>
        <w:spacing w:after="0" w:line="490" w:lineRule="auto"/>
        <w:tabs>
          <w:tab w:leader="none" w:pos="2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80" w:right="1860" w:hanging="3472"/>
        <w:spacing w:after="0" w:line="500" w:lineRule="auto"/>
        <w:tabs>
          <w:tab w:leader="none" w:pos="20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 to 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001-41711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98-1720278</w:t>
            </w:r>
          </w:p>
        </w:tc>
      </w:tr>
      <w:tr>
        <w:trPr>
          <w:trHeight w:val="198"/>
        </w:trPr>
        <w:tc>
          <w:tcPr>
            <w:tcW w:w="4600" w:type="dxa"/>
            <w:vAlign w:val="bottom"/>
            <w:gridSpan w:val="3"/>
          </w:tcPr>
          <w:p>
            <w:pPr>
              <w:jc w:val="center"/>
              <w:ind w:left="8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100 W Airport Road,</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Stillwater, OK 74075</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813)-867-6155</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32"/>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4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gridSpan w:val="3"/>
            <w:shd w:val="clear" w:color="auto" w:fill="CCEEFF"/>
          </w:tcPr>
          <w:p>
            <w:pPr>
              <w:jc w:val="center"/>
              <w:ind w:right="760"/>
              <w:spacing w:after="0"/>
              <w:rPr>
                <w:sz w:val="20"/>
                <w:szCs w:val="20"/>
                <w:color w:val="auto"/>
              </w:rPr>
            </w:pPr>
            <w:r>
              <w:rPr>
                <w:rFonts w:ascii="Times New Roman" w:cs="Times New Roman" w:eastAsia="Times New Roman" w:hAnsi="Times New Roman"/>
                <w:sz w:val="18"/>
                <w:szCs w:val="18"/>
                <w:color w:val="auto"/>
                <w:w w:val="99"/>
              </w:rPr>
              <w:t>USAR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00" w:type="dxa"/>
            <w:vAlign w:val="bottom"/>
            <w:gridSpan w:val="3"/>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040" w:type="dxa"/>
            <w:vAlign w:val="bottom"/>
            <w:gridSpan w:val="4"/>
          </w:tcPr>
          <w:p>
            <w:pPr>
              <w:jc w:val="center"/>
              <w:ind w:right="960"/>
              <w:spacing w:after="0" w:line="198" w:lineRule="exact"/>
              <w:rPr>
                <w:sz w:val="20"/>
                <w:szCs w:val="20"/>
                <w:color w:val="auto"/>
              </w:rPr>
            </w:pPr>
            <w:r>
              <w:rPr>
                <w:rFonts w:ascii="Times New Roman" w:cs="Times New Roman" w:eastAsia="Times New Roman" w:hAnsi="Times New Roman"/>
                <w:sz w:val="18"/>
                <w:szCs w:val="18"/>
                <w:color w:val="auto"/>
                <w:w w:val="98"/>
              </w:rPr>
              <w:t>USARW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share of Common Stock, each at an exercise price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920" w:type="dxa"/>
        <w:tblCellMar>
          <w:top w:w="0" w:type="dxa"/>
          <w:left w:w="0" w:type="dxa"/>
          <w:bottom w:w="0" w:type="dxa"/>
          <w:right w:w="0" w:type="dxa"/>
        </w:tblCellMar>
      </w:tblPr>
      <w:tr>
        <w:trPr>
          <w:trHeight w:val="221"/>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38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May 9, 2025, the Registrant had 90,836,766 shares of common stock, par value $0.0001 per share and 5,018,834 shares of 12.0% Series A Cumulative Convertible Preferred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0" w:type="dxa"/>
            <w:vAlign w:val="bottom"/>
            <w:gridSpan w:val="9"/>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53"/>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80" w:type="dxa"/>
            <w:vAlign w:val="bottom"/>
            <w:gridSpan w:val="10"/>
            <w:shd w:val="clear" w:color="auto" w:fill="CCEEFF"/>
          </w:tcPr>
          <w:p>
            <w:pPr>
              <w:jc w:val="center"/>
              <w:ind w:right="404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900" w:type="dxa"/>
            <w:vAlign w:val="bottom"/>
            <w:shd w:val="clear" w:color="auto" w:fill="CCEEFF"/>
          </w:tcPr>
          <w:p>
            <w:pPr>
              <w:spacing w:after="0"/>
              <w:rPr>
                <w:sz w:val="17"/>
                <w:szCs w:val="17"/>
                <w:color w:val="auto"/>
              </w:rPr>
            </w:pPr>
          </w:p>
        </w:tc>
      </w:tr>
      <w:tr>
        <w:trPr>
          <w:trHeight w:val="175"/>
        </w:trPr>
        <w:tc>
          <w:tcPr>
            <w:tcW w:w="8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200" w:type="dxa"/>
            <w:vAlign w:val="bottom"/>
            <w:tcBorders>
              <w:top w:val="single" w:sz="8" w:color="CCEEFF"/>
            </w:tcBorders>
            <w:gridSpan w:val="11"/>
          </w:tcPr>
          <w:p>
            <w:pPr>
              <w:ind w:left="6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2240" w:type="dxa"/>
            <w:vAlign w:val="bottom"/>
            <w:tcBorders>
              <w:top w:val="single" w:sz="8" w:color="0000EE"/>
            </w:tcBorders>
            <w:gridSpan w:val="7"/>
          </w:tcPr>
          <w:p>
            <w:pPr>
              <w:spacing w:after="0"/>
              <w:rPr>
                <w:sz w:val="15"/>
                <w:szCs w:val="15"/>
                <w:color w:val="auto"/>
              </w:rPr>
            </w:pPr>
          </w:p>
        </w:tc>
        <w:tc>
          <w:tcPr>
            <w:tcW w:w="404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2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2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2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Mezzanine Equity and Stockholders’ Equity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2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2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1"/>
          </w:tcPr>
          <w:p>
            <w:pPr>
              <w:ind w:left="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21"/>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1"/>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0" w:type="dxa"/>
            <w:vAlign w:val="bottom"/>
            <w:gridSpan w:val="9"/>
            <w:shd w:val="clear" w:color="auto" w:fill="CCEEFF"/>
          </w:tcPr>
          <w:p>
            <w:pPr>
              <w:jc w:val="center"/>
              <w:ind w:right="414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Other Information</w:t>
            </w:r>
          </w:p>
        </w:tc>
        <w:tc>
          <w:tcPr>
            <w:tcW w:w="900" w:type="dxa"/>
            <w:vAlign w:val="bottom"/>
            <w:shd w:val="clear" w:color="auto" w:fill="CCEEFF"/>
          </w:tcPr>
          <w:p>
            <w:pPr>
              <w:spacing w:after="0"/>
              <w:rPr>
                <w:sz w:val="17"/>
                <w:szCs w:val="17"/>
                <w:color w:val="auto"/>
              </w:rPr>
            </w:pPr>
          </w:p>
        </w:tc>
      </w:tr>
      <w:tr>
        <w:trPr>
          <w:trHeight w:val="175"/>
        </w:trPr>
        <w:tc>
          <w:tcPr>
            <w:tcW w:w="8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280" w:type="dxa"/>
            <w:vAlign w:val="bottom"/>
            <w:tcBorders>
              <w:top w:val="single" w:sz="8" w:color="CCEEFF"/>
            </w:tcBorders>
            <w:gridSpan w:val="12"/>
          </w:tcPr>
          <w:p>
            <w:pPr>
              <w:ind w:left="6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060" w:type="dxa"/>
            <w:vAlign w:val="bottom"/>
            <w:tcBorders>
              <w:top w:val="single" w:sz="8" w:color="0000EE"/>
            </w:tcBorders>
            <w:gridSpan w:val="5"/>
          </w:tcPr>
          <w:p>
            <w:pPr>
              <w:spacing w:after="0"/>
              <w:rPr>
                <w:sz w:val="15"/>
                <w:szCs w:val="15"/>
                <w:color w:val="auto"/>
              </w:rPr>
            </w:pPr>
          </w:p>
        </w:tc>
        <w:tc>
          <w:tcPr>
            <w:tcW w:w="4140" w:type="dxa"/>
            <w:vAlign w:val="bottom"/>
            <w:tcBorders>
              <w:top w:val="single" w:sz="8" w:color="CCEEFF"/>
            </w:tcBorders>
            <w:gridSpan w:val="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80" w:type="dxa"/>
            <w:vAlign w:val="bottom"/>
            <w:gridSpan w:val="21"/>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1"/>
          </w:tcPr>
          <w:p>
            <w:pPr>
              <w:ind w:left="6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21"/>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1"/>
          </w:tcPr>
          <w:p>
            <w:pPr>
              <w:ind w:left="6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80" w:type="dxa"/>
            <w:vAlign w:val="bottom"/>
            <w:gridSpan w:val="21"/>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80" w:type="dxa"/>
            <w:vAlign w:val="bottom"/>
            <w:gridSpan w:val="21"/>
          </w:tcPr>
          <w:p>
            <w:pPr>
              <w:ind w:left="6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plans and objectives of management for future operations, and the benefits and timing of the rollout of our magnet production facility and timing of expected milestones,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the benefits expected from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Common Stock and the USAR Warrants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financing in the future and to comply with restrictive covenants related to long-term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financial performance of USAR;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USAR’s ability to comply with laws and regulations applicable to its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and USAR’s management team’s current expectations, forecasts and assumptions, and involve a number of judgments, known and unknown risks and uncertainties and other factors, many of which are outside the control of USAR and its directors, officers and affiliates. Accordingly, forward-looking statements should not be relied upon as representing USAR’s management team’s views as of any subsequent date. USAR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USAR has no history in commercial operations which limits the accuracy of any forward-looking forecasts, prospects or business outlook or plans;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USAR has generated negative operating cash flows and may experience negative cash flow from operations in the future and that USAR may not be able to generate positive cashflow from its expected future business operations;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of our magnet production facility and the timing of expected production milestones and the timing and amount of future production, including any time delays, unforeseen expenses, increased capital costs, negative tariff implications, and other complications;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future cash flow provided by operating activities,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magnet production business is subject to the availability of rare earth element (“</w:t>
      </w:r>
      <w:r>
        <w:rPr>
          <w:rFonts w:ascii="Times New Roman" w:cs="Times New Roman" w:eastAsia="Times New Roman" w:hAnsi="Times New Roman"/>
          <w:sz w:val="18"/>
          <w:szCs w:val="18"/>
          <w:u w:val="single" w:color="auto"/>
          <w:color w:val="auto"/>
        </w:rPr>
        <w:t>REE</w:t>
      </w:r>
      <w:r>
        <w:rPr>
          <w:rFonts w:ascii="Times New Roman" w:cs="Times New Roman" w:eastAsia="Times New Roman" w:hAnsi="Times New Roman"/>
          <w:sz w:val="18"/>
          <w:szCs w:val="18"/>
          <w:color w:val="auto"/>
        </w:rPr>
        <w:t>”) oxide and metal feedstock;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rare earth minerals, including fluctuations in demand for, and prices of, Neodymium Iron Boron (“</w:t>
      </w:r>
      <w:r>
        <w:rPr>
          <w:rFonts w:ascii="Times New Roman" w:cs="Times New Roman" w:eastAsia="Times New Roman" w:hAnsi="Times New Roman"/>
          <w:sz w:val="18"/>
          <w:szCs w:val="18"/>
          <w:u w:val="single" w:color="auto"/>
          <w:color w:val="auto"/>
        </w:rPr>
        <w:t>NdFeB or neo</w:t>
      </w:r>
      <w:r>
        <w:rPr>
          <w:rFonts w:ascii="Times New Roman" w:cs="Times New Roman" w:eastAsia="Times New Roman" w:hAnsi="Times New Roman"/>
          <w:sz w:val="18"/>
          <w:szCs w:val="18"/>
          <w:color w:val="auto"/>
        </w:rPr>
        <w:t>”) magnets, magnet materials, and necessary feedstock;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any mineral estimates, uncertainty in any 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convert current commercial discussions and/or memorandums of understanding with customers into definitive contracts;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existing and emerging uses for neo magnets; changes in the global supply of neo magnets due to tariffs, trade restrictions,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magnet manufacturing industry;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or the United States’ political environment and policies;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capital or other resources necessary to provide for such production;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management to manage growth properly which could negatively impact our business;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or other utility disruption or shortage and limited access to raw materials;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production, capital expenditures, requirements for additional capital, and increasing costs, including rising electricity and other utility costs and cost increases due to tariffs;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transportation costs or disruptions in transportation services or damage or loss during transport;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or maintain relationships with customers and suppliers, including any inability to meet individual customer specifications;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access to water;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similar difficulties, breakdown in labor relations, or a shortage of skilled technicians and engineers;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attract additional qualified personnel;</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certain agreements with government entities that have provided us with certain incentives and favorable financing;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debt or equity capital when necessary or advisable;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force majeure events;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and maintain relationships with local communities and stakeholders;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and costly environmental requirements;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and sustain governmental permits and approvals;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anti-corruption, anti-bribery, anti-money laundering and similar laws and regulations;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environmental, health and safety regulations;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climate change;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litigation risks, including permit disputes (including in respect of access and/or validity of tenure), environmental claims, occupational health and safety claims and employee claims;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infringement of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protect intellectual property rights;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information technology systems, including cyber threats, disruption, damage and failure;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and management attention related to the requirements of being a public company in the United States.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USA Rare Earth, Inc.</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25,779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30,122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Mineral interests, at cost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deposits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77,075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69,069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AND STOCKHOLDERS’ (DEFICIT) EQUITY</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7,333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grants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34,475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97,334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15,125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12% Series A Cumulative Convertible Preferred Stock subject to possible redemption, $0.0001 par value, 15,000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5,233 issued and outstanding as of March 31, 2025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32,397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750,000 authorized; 81,952 shares issued and outstanding as of March 31, 2025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(17,187)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(37,994)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(72,872)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(52,656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and stockholders’ (deficit)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77,075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69,069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1,689</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fair market value of financial instruments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51,682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income (loss) per common share - basic</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83,079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59,425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0"/>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Stockholders’ (Deficit) Equity</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0"/>
                <w:szCs w:val="10"/>
                <w:color w:val="auto"/>
              </w:rPr>
            </w:pPr>
          </w:p>
        </w:tc>
        <w:tc>
          <w:tcPr>
            <w:tcW w:w="740" w:type="dxa"/>
            <w:vAlign w:val="bottom"/>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15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820" w:type="dxa"/>
            <w:vAlign w:val="bottom"/>
            <w:tcBorders>
              <w:right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Mezzanine</w:t>
            </w:r>
          </w:p>
        </w:tc>
        <w:tc>
          <w:tcPr>
            <w:tcW w:w="40" w:type="dxa"/>
            <w:vAlign w:val="bottom"/>
          </w:tcPr>
          <w:p>
            <w:pPr>
              <w:spacing w:after="0"/>
              <w:rPr>
                <w:sz w:val="16"/>
                <w:szCs w:val="16"/>
                <w:color w:val="auto"/>
              </w:rPr>
            </w:pPr>
          </w:p>
        </w:tc>
        <w:tc>
          <w:tcPr>
            <w:tcW w:w="13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2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6"/>
                <w:szCs w:val="16"/>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180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80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January 1,</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2,739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21,173</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(1,250)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19,923</w:t>
            </w:r>
          </w:p>
        </w:tc>
        <w:tc>
          <w:tcPr>
            <w:tcW w:w="4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60,091</w:t>
            </w:r>
          </w:p>
        </w:tc>
        <w:tc>
          <w:tcPr>
            <w:tcW w:w="660" w:type="dxa"/>
            <w:vAlign w:val="bottom"/>
            <w:gridSpan w:val="2"/>
            <w:vMerge w:val="restart"/>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104,244</w:t>
            </w: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(72,872)</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2,643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34,021</w:t>
            </w: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2025 as recast*</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6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00" w:type="dxa"/>
            <w:vAlign w:val="bottom"/>
            <w:tcBorders>
              <w:right w:val="single" w:sz="8" w:color="auto"/>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Equity-based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compensation -</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71"/>
        </w:trPr>
        <w:tc>
          <w:tcPr>
            <w:tcW w:w="1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incentive units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transaction bonus</w:t>
            </w: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Extinguishment of note</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140</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1,506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171"/>
        </w:trPr>
        <w:tc>
          <w:tcPr>
            <w:tcW w:w="1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payable</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Convertible Preferred</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(Class A and</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1,082</w:t>
            </w: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1,082</w:t>
            </w:r>
          </w:p>
        </w:tc>
        <w:tc>
          <w:tcPr>
            <w:tcW w:w="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182</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(1,082)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w:t>
            </w: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preferred stock</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and warrants, net of</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11,745</w:t>
            </w:r>
          </w:p>
        </w:tc>
        <w:tc>
          <w:tcPr>
            <w:tcW w:w="6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11,745</w:t>
            </w:r>
          </w:p>
        </w:tc>
        <w:tc>
          <w:tcPr>
            <w:tcW w:w="4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5,367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5,367</w:t>
            </w:r>
          </w:p>
        </w:tc>
        <w:tc>
          <w:tcPr>
            <w:tcW w:w="0" w:type="dxa"/>
            <w:vAlign w:val="bottom"/>
          </w:tcPr>
          <w:p>
            <w:pPr>
              <w:spacing w:after="0"/>
              <w:rPr>
                <w:sz w:val="1"/>
                <w:szCs w:val="1"/>
                <w:color w:val="auto"/>
              </w:rPr>
            </w:pPr>
          </w:p>
        </w:tc>
      </w:tr>
      <w:tr>
        <w:trPr>
          <w:trHeight w:val="171"/>
        </w:trPr>
        <w:tc>
          <w:tcPr>
            <w:tcW w:w="1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costs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Forgiveness of related</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1,527</w:t>
            </w:r>
          </w:p>
        </w:tc>
        <w:tc>
          <w:tcPr>
            <w:tcW w:w="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2,777</w:t>
            </w: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party promissory note</w:t>
            </w: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offering costs</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(3,237)</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(3,237)</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(4,234)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(4,234)</w:t>
            </w: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Deemed dividend -</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preferred accretion to</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107</w:t>
            </w: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redemption value</w:t>
            </w: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 in reverse</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21,461</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27,718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(16,954)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10,766</w:t>
            </w:r>
          </w:p>
        </w:tc>
        <w:tc>
          <w:tcPr>
            <w:tcW w:w="0" w:type="dxa"/>
            <w:vAlign w:val="bottom"/>
          </w:tcPr>
          <w:p>
            <w:pPr>
              <w:spacing w:after="0"/>
              <w:rPr>
                <w:sz w:val="1"/>
                <w:szCs w:val="1"/>
                <w:color w:val="auto"/>
              </w:rPr>
            </w:pPr>
          </w:p>
        </w:tc>
      </w:tr>
      <w:tr>
        <w:trPr>
          <w:trHeight w:val="171"/>
        </w:trPr>
        <w:tc>
          <w:tcPr>
            <w:tcW w:w="1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recapitalization merger</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Earnout liability at Closing</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(99,639)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(99,639)</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of the Merger</w:t>
            </w: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Conversion of Series A</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Investor Warrants into</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liability-classified</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(34,612)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(34,612)</w:t>
            </w:r>
          </w:p>
        </w:tc>
        <w:tc>
          <w:tcPr>
            <w:tcW w:w="0" w:type="dxa"/>
            <w:vAlign w:val="bottom"/>
          </w:tcPr>
          <w:p>
            <w:pPr>
              <w:spacing w:after="0"/>
              <w:rPr>
                <w:sz w:val="1"/>
                <w:szCs w:val="1"/>
                <w:color w:val="auto"/>
              </w:rPr>
            </w:pPr>
          </w:p>
        </w:tc>
      </w:tr>
      <w:tr>
        <w:trPr>
          <w:trHeight w:val="171"/>
        </w:trPr>
        <w:tc>
          <w:tcPr>
            <w:tcW w:w="1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Forward purchase</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(20,389)</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(20,740)</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agreements prepayment</w:t>
            </w: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Early terminations of</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forward purchase</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3,271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3,334</w:t>
            </w:r>
          </w:p>
        </w:tc>
        <w:tc>
          <w:tcPr>
            <w:tcW w:w="0" w:type="dxa"/>
            <w:vAlign w:val="bottom"/>
          </w:tcPr>
          <w:p>
            <w:pPr>
              <w:spacing w:after="0"/>
              <w:rPr>
                <w:sz w:val="1"/>
                <w:szCs w:val="1"/>
                <w:color w:val="auto"/>
              </w:rPr>
            </w:pPr>
          </w:p>
        </w:tc>
      </w:tr>
      <w:tr>
        <w:trPr>
          <w:trHeight w:val="171"/>
        </w:trPr>
        <w:tc>
          <w:tcPr>
            <w:tcW w:w="1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agreements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Accretion of forward</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agreements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51,832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51,682</w:t>
            </w:r>
          </w:p>
        </w:tc>
        <w:tc>
          <w:tcPr>
            <w:tcW w:w="0" w:type="dxa"/>
            <w:vAlign w:val="bottom"/>
          </w:tcPr>
          <w:p>
            <w:pPr>
              <w:spacing w:after="0"/>
              <w:rPr>
                <w:sz w:val="1"/>
                <w:szCs w:val="1"/>
                <w:color w:val="auto"/>
              </w:rPr>
            </w:pPr>
          </w:p>
        </w:tc>
      </w:tr>
      <w:tr>
        <w:trPr>
          <w:trHeight w:val="110"/>
        </w:trPr>
        <w:tc>
          <w:tcPr>
            <w:tcW w:w="180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March 31,</w:t>
            </w: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5,233</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32,397</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32,397</w:t>
            </w: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81,952</w:t>
            </w:r>
          </w:p>
        </w:tc>
        <w:tc>
          <w:tcPr>
            <w:tcW w:w="6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5"/>
              </w:rPr>
              <w:t>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24</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(17,187)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(37,994)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2,493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(52,656)</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 w:hanging="332"/>
        <w:spacing w:after="0" w:line="282"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of the Company’s common stock prior to the Merger have been retrospectively recast to reflect the change in the capital structure as a result of the Merger as described in Note 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8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Class C-1</w:t>
            </w: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06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100" w:type="dxa"/>
            <w:vAlign w:val="bottom"/>
          </w:tcPr>
          <w:p>
            <w:pPr>
              <w:spacing w:after="0"/>
              <w:rPr>
                <w:sz w:val="14"/>
                <w:szCs w:val="1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w:t>
            </w:r>
          </w:p>
        </w:tc>
        <w:tc>
          <w:tcPr>
            <w:tcW w:w="920" w:type="dxa"/>
            <w:vAlign w:val="bottom"/>
            <w:gridSpan w:val="3"/>
            <w:vMerge w:val="continue"/>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80" w:type="dxa"/>
            <w:vAlign w:val="bottom"/>
            <w:gridSpan w:val="3"/>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2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206,520</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3,704</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20,779</w:t>
            </w: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3,189</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54,592</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73,079</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7,861</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13,404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(54,223)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3,331</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42,484</w:t>
            </w:r>
          </w:p>
        </w:tc>
        <w:tc>
          <w:tcPr>
            <w:tcW w:w="0" w:type="dxa"/>
            <w:vAlign w:val="bottom"/>
          </w:tcPr>
          <w:p>
            <w:pPr>
              <w:spacing w:after="0"/>
              <w:rPr>
                <w:sz w:val="1"/>
                <w:szCs w:val="1"/>
                <w:color w:val="auto"/>
              </w:rPr>
            </w:pPr>
          </w:p>
        </w:tc>
      </w:tr>
      <w:tr>
        <w:trPr>
          <w:trHeight w:val="17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520" w:type="dxa"/>
            <w:vAlign w:val="bottom"/>
            <w:gridSpan w:val="2"/>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Retroactive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application of</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recapitalization</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59,213</w:t>
            </w:r>
          </w:p>
        </w:tc>
        <w:tc>
          <w:tcPr>
            <w:tcW w:w="28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(206,520)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(3,704)</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(20,779)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(3,189)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(54,592)</w:t>
            </w:r>
          </w:p>
        </w:tc>
        <w:tc>
          <w:tcPr>
            <w:tcW w:w="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(73,079)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(13,404)</w:t>
            </w:r>
          </w:p>
        </w:tc>
        <w:tc>
          <w:tcPr>
            <w:tcW w:w="14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93,370</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0"/>
        </w:trPr>
        <w:tc>
          <w:tcPr>
            <w:tcW w:w="126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59,213</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93,370</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(54,223)</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3,331</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42,484</w:t>
            </w:r>
          </w:p>
        </w:tc>
        <w:tc>
          <w:tcPr>
            <w:tcW w:w="0" w:type="dxa"/>
            <w:vAlign w:val="bottom"/>
          </w:tcPr>
          <w:p>
            <w:pPr>
              <w:spacing w:after="0"/>
              <w:rPr>
                <w:sz w:val="1"/>
                <w:szCs w:val="1"/>
                <w:color w:val="auto"/>
              </w:rPr>
            </w:pPr>
          </w:p>
        </w:tc>
      </w:tr>
      <w:tr>
        <w:trPr>
          <w:trHeight w:val="17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52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Equity-based</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349</w:t>
            </w:r>
          </w:p>
        </w:tc>
        <w:tc>
          <w:tcPr>
            <w:tcW w:w="14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71"/>
        </w:trPr>
        <w:tc>
          <w:tcPr>
            <w:tcW w:w="1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w:t>
            </w:r>
          </w:p>
        </w:tc>
        <w:tc>
          <w:tcPr>
            <w:tcW w:w="5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C and C-1</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212</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dividends</w:t>
            </w:r>
          </w:p>
        </w:tc>
        <w:tc>
          <w:tcPr>
            <w:tcW w:w="52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614</w:t>
            </w:r>
          </w:p>
        </w:tc>
        <w:tc>
          <w:tcPr>
            <w:tcW w:w="14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71"/>
        </w:trPr>
        <w:tc>
          <w:tcPr>
            <w:tcW w:w="1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warrants</w:t>
            </w:r>
          </w:p>
        </w:tc>
        <w:tc>
          <w:tcPr>
            <w:tcW w:w="5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Dilution of non-</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52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(4,472)</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(4,672)</w:t>
            </w:r>
          </w:p>
        </w:tc>
        <w:tc>
          <w:tcPr>
            <w:tcW w:w="0" w:type="dxa"/>
            <w:vAlign w:val="bottom"/>
          </w:tcPr>
          <w:p>
            <w:pPr>
              <w:spacing w:after="0"/>
              <w:rPr>
                <w:sz w:val="1"/>
                <w:szCs w:val="1"/>
                <w:color w:val="auto"/>
              </w:rPr>
            </w:pPr>
          </w:p>
        </w:tc>
      </w:tr>
      <w:tr>
        <w:trPr>
          <w:trHeight w:val="110"/>
        </w:trPr>
        <w:tc>
          <w:tcPr>
            <w:tcW w:w="126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59,425</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94,333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(58,683)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3,119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38,775</w:t>
            </w:r>
          </w:p>
        </w:tc>
        <w:tc>
          <w:tcPr>
            <w:tcW w:w="0" w:type="dxa"/>
            <w:vAlign w:val="bottom"/>
          </w:tcPr>
          <w:p>
            <w:pPr>
              <w:spacing w:after="0"/>
              <w:rPr>
                <w:sz w:val="1"/>
                <w:szCs w:val="1"/>
                <w:color w:val="auto"/>
              </w:rPr>
            </w:pPr>
          </w:p>
        </w:tc>
      </w:tr>
      <w:tr>
        <w:trPr>
          <w:trHeight w:val="21"/>
        </w:trPr>
        <w:tc>
          <w:tcPr>
            <w:tcW w:w="1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 w:hanging="332"/>
        <w:spacing w:after="0" w:line="282" w:lineRule="auto"/>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of the Company’s common stock prior to the Merger have been retrospectively recast to reflect the change in the capital structure as a result of the Merger as described in Note 3.</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06" w:right="319" w:bottom="1055"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51,682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Hatch note extinguishment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fair market value of financial instruments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(2,011)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deposits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series A-2 preferred and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15,250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series A preferred and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 for series A preferred and warrants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IPXX contribution of capital through merger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 of forward purchase agreements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(20,789)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early termination of forward purchase agreements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issuance costs of Class C-1 Convertible Preferred units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securities issuance costs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(8,281)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19,969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16,761</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13,199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C and C-1 convertible preferred stock dividends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A-1 and A-2 convertible preferred stock dividends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right-out-use assets obtained in exchange for finance lease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right-of-use assets obtained in exchange for operating lease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mission of USA Rare Earth, Inc. (formerly known as Inflection Point Acquisition Corp. II or “IPXX”), collectively with its subsidiaries (the “Company,” or “USAR”) is to establish a domestic rare earth magnet supply chain that supports the future state of energy, mobility, technology and national security in the United States (“U.S.”). USAR is developing a rare earth sintered neo magnet (“neo magnet” or “NdFeB”) manufacturing plant in Stillwater, Oklahoma, and intends to establish domestic rare earth and critical minerals supply, extraction, and processing capabilities to both supply its magnet manufacturing plant and market surplus materials to third parties. Rare earth magnets are critical to various business sectors and industries, including the defense, automotive, aviation, industrial, AI Robotics, medical, and consumer electronics industries, among others. USAR is planning to take a broad approach to the industries it serves with the intention of providing high quality NdFeB magnets to a variety of industries and customers. USAR’s focus on developing domestic rare earth production aligns with national priorities, offering the potential of a sustainable and secure domestic supply of materials critical to key industries.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USAR was a special purpose acquisition company incorporated as a Cayman Islands exempted corporation on March 6, 2023. The Company was incorporated for the purpose of effecting a merger, share exchange, asset acquisition, share purchase, reorganization or similar business combination with one or more businesses. Following the closing of the Merger Transactions (as defined below), shares of USAR common stock (“Common Stock”) and USAR warrants began trading on Nasdaq Stock Market LLC (“Nasdaq”) under the symbols “USAR” and “USARW”, respectively, on March 14,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refer to the mining operations of the Company, conducted through Round Top Mountain Development, LLC (“RTMD”), at Round Top Mountain in Texas (“Round Top”) and the Company’s research and development facility in Colorado as the “Round Top Project”. RTMD has mining rights in Texas and is developing processing technology for the rare earth minerals which are to be mined in Texas.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IPXX Business Combination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21, 2024, IPXX entered into a Business Combination Agreement (as amended on November 12, 2024 and January 30, 2025, the “Business Combination Agreement”), by and among IPXX, USA Rare Earth, LLC, a Delaware limited liability company (“USARE LLC”), and IPXX Merger Sub, LLC, a Delaware limited liability company and a direct wholly owned subsidiary of IPXX (“Merger Sub”). Pursuant to the Business Combination Agreement, Merger Sub merged with and into the USARE LLC, with the USARE LLC continuing as the surviving company (the “Merger”).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12, 2025, as contemplated by the Business Combination Agreement, IPXX filed a notice of deregistration with the Cayman Islands Registrar of Companies and filed a certificate of incorporation and certificate of corporate domestication with the Delaware Secretary of State, pursuant to which IPXX was domesticated and continues as a Delaware corporation, changing its name to USA Rare Earth, Inc (the “Domestication”). As a result of the Domestication, each issued and outstanding Class A ordinary share of IPXX automatically converted, on a one-for-one basis, into a share of Common Stock and each of the issued and outstanding warrants to purchase Class A ordinary shares of IPXX automatically became a warrant exercisable for one share of Common Stock on the same terms as the pre-Domestication warrants. Additionally, each unit of IPXX issued and outstanding as of immediately prior to the Domestication was automatically canceled and each unit holder received one share of Common Stock and one-half of one USAR warrant exercisable for one share of Common Stock on the same terms as the pre-Domestication warrants.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13, 2025 (the “Closing Date” or “Closing”), USAR consummated the previously announced Merger and related transactions (the “Merger Transactions”) contemplated by the Business Combination Agreement and USARE LLC became a direct wholly owned subsidiary of USAR. As a result of the Merger Transactions, all issued and outstanding Class A and B common units, Class C and C-1 preferred units, equity-based incentive units and warrants to acquire Class B common units and Class C preferred units of USARE LLC were converted into shares of Common Stock using an exchange ratio of approximately 0.204. On the Closing Date all incentive units were considered fully vested. The number of shares of Common Stock issuable for USARE LLC warrants and incentive units was calculated using the treasury method of accounting on a cashless exercise basis. Additionally, all issued and outstanding Class A-1 and A-2 preferred units of USARE LLC were converted on a one-for-one basis into shares of USAR Series A Preferred stock. Warrants to acquire USAR Class A common stock issued to the holders of Preferred Class A-1 and A-2 units were converted into a right to acquire Common Stock on a one-for-one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Merger, USAR is a holding company, in which substantially all of the assets and business are held by USARE LLC and its subsidiaries and continues to operate through USARE LLC and its subsidiaries. The Merger is accounted for as a reverse recapitalization in accordance with generally accepted accounting principles in the U.S. (“U.S. GAAP”) and not as a business combination. Under this method of accounting, IPXX is treated as the acquired company for financial reporting purposes. Accordingly, for accounting purposes, the Merger will be treated as the equivalent of USARE LLC issuing stock for the net assets of IPXX, accompanied by a recapitalization. USARE LLC has been determined to be the accounting predecessor to the combined entity.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noted or the context otherwise requires, references to the “Company,” “USAR,” “USA Rare Earth, Inc.,” refer to the business of USARE LLC and its subsidiaries prior to the Closing and to the business of USAR and its subsidiaries, including USARE LLC, following the Closing.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additional information in Note 3, “Merger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GAAP, which contemplates continuation of the Company as a going concern and the continuity of operations, realization of assets, and liquidation of liabilities in the normal course of business. The Company has generated no revenues since inception, continues to incur losses from operations, and has an accumulated deficit. For the three months ended March 31, 2025, the Company had net income of $51.7 million, which includes a non-cash fair value gain on financial instruments of $60.3 million. For the three months ended March 31, 2024, the Company had a net loss of $4.7 million. For the three months ended March 31, 2025 and 2024, the Company used $10.3 million and $4.2 million cash in operating activities,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March 31, 2025, the Company received additional cash proceeds of $11.5 million upon early terminations of the Forward Purchase Agreements (“FPA”). In addition, on May 5, 2025, the Company announced the closing of a private investment in public equity (“PIPE”) financing for $75.0 million with a single institutional investor.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as of March 31, 2025, the Company had cash on its condensed consolidated balance sheet of $23.4 million, and has subsequently raised additional proceeds from the early terminations of the FPA and financing from the PIPE, the Company will need to raise additional capital to implement its strategic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need to raise additional capital as well as milestones required for its current strategic plan to generate sustainable commercial revenues, there is substantial doubt regarding its ability to continue as a going concern for the twelve months following the issuance of these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U.S. GAAP for interim financial reporting and pursuant to the rules and regulations of the Securities and Exchange Commission (“SEC”). Certain information and footnote disclosures normally included in annual financial statements prepared in accordance with U.S. GAAP have been condensed or omitted pursuant to such rules and regulations relating to interim financial statements. In management’s opinion, these unaudited condensed consolidated financial statements have been prepared on the same basis as the annual financial statements and reflect all adjustments, which include only normal recurring adjustments necessary for the fair statement of the Company’s financial position as of March 31, 2025 and December 31, 2024 and the results of operations and cash flows for the three months ended March 31, 2025 and 2024. The results of operations for the three months ended March 31, 2025 are not necessarily indicative of the results to be expected for the full year or any other future interim or annual period. The December 31, 2024 balances reported herein are derived from the audited consolidated financial statements of USARE LLC.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of USARE LLC as of and for the years ended December 31, 2024 and 2023 contained in a Form 8-K dated and filed with the SEC on March 19,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financial statements have been prepared on a basis that assumes that the Company will continue as a going concern, which contemplates the realization of assets and the satisfaction of liabilities and commitments in the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(“JOBS Act”). The JOBS Act, as defined, provides emerging growth companies with certain exemptions from public company reporting requirements for up to five fiscal years while a company remains an emerging growth company. As part of these exemptions, the Company need only provide two fiscal years of audited financial statements instead of three, it has reduced disclosure obligations such as for executive compensation, and it is not required to comply with auditor attestation requirements from Section 404(b) of the Sarbanes-Oxley 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as well as its wholly-owned subsidiaries and variable interest entities (“VIEs”) for which the Company is the primary beneficiary.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expenses during the reporting period. The amounts that involve significant estimates include equity-based compensation, asset and liability valuations, certain equity issuances, and other fair value estimates reported. The assumptions used in calculating fair value represent the Company’s best estimates. However, these estimates involve inherent uncertainties and the application of judgment. As a result, if factors change or the Company uses different assumptions, any gain or loss recognized using estimates could be materially different.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deposits. The Company considers cash equivalents to be highly liquid investments, including U.S. treasury and agency securities purchased with original maturities of three months or less. The Company maintains its cash in institutions insured by the Federal Deposit Insurance Corporation (“FDIC”). Management considers the risk of loss to be minimal.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and liquid investments with an original maturity of three months or less. At March 31, 2025 and December 31, 2024, cash and cash equivalents consisted of $23.4 million and $16.8 million, respectively, of funds held in bank and investment accounts with financial institutions in the U.S.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continually monitors its cash positions with the financial institutions through which it invests. The Company maintains balances in various U.S. financial institutions in excess of U.S. federally insured limits.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direct legal, advisory, and other fees related to the Business Combination Agreement, and the Merger transactions as described in Note 1, “Organization”. These costs are capitalized as incurred and are presented as part of current assets in the Company’s condensed consolidated balance sheets and totaled zero and $5.1 million as of March 31, 2025 and December 31, 2024, respectively. Upon the completion of the Merger Transactions, deferred offering costs directly related to the issuance of shares were netted against the proceeds from the Merger and recorded as an offset to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Ownership Interest Without Loss of Control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Changes in a parent’s ownership interest that do not result in a change in control of the subsidiary that is a business are accounted for as equity transactions (i.e., no gain or loss is recognized in earnings) and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carrying amount of the non-controlling interest (“NCI”) is adjusted to reflect the change in the NCI’s ownership interest in the subsidiary. Any difference between the amount by which the NCI is adjusted and the fair value of the consideration received is attributed to shareholders’/members’ equity and recognized in additional paid-in capital (“APIC”).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GAAP defines fair value as the price that would be received to sell an asset or be paid to transfer a liability in an orderly transaction between market participants at the measurement date (exit price), and establishes a fair value hierarchy that prioritizes the inputs used to measure fair value using the following definitions (from highest to lowest priority):</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 techniques requiring inputs that are both significant to the fair-value measurement and unobservable.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A financial instrument’s level within the fair value hierarchy is based on the lowest level of any input that is significant to the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additional information in Note 4, “Fair Value Measurements”.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360-10,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 Company periodically reviews the carrying value of its long-lived assets, such as property, plant and equipment, mineral interests and equipment deposits, to test whether current events or circumstances indicate that such carrying value may not be recoverable. When impairment indicators are identified, a recoverability analysis is performed by comparing estimated future net cash flows with the carrying value and future obligations on an undiscounted basis. If an asset’s carrying value exceeds such estimated cash flows, the Company would record an impairment loss for the difference between the asset’s carrying amount and its fair value. Where estimates of future net cash flows are not determinable and where other conditions indicate the potential for impairment, management uses available market information and/or third-party valuation experts to assess if the carrying value can be recovered and to estimate fair value.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record an impairment loss related to long-lived assets for the three months ended March 31, 2025 and the year ended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Advance payments of equipment not yet received are recorded as equipment deposits on the condensed consolidated balance sheets. Depreciation is calculated using the straight-line method over the following estimated useful lives of the related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20-30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20-30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Magnet plant equipment</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10-20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3-15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commences once the asset is ready for its intended use. Upon retirement or sale, the cost of assets disposed of and the related accumulated depreciation, is removed from the accounts and any resulting gain or loss is reflected in the condensed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of normal maintenance, repairs, and minor replacements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Properties and Evaluation and Exploration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Mining property acquisition costs, including indirectly related acquisition costs, are capitalized when incurred. The cost of mining properties is included in mineral interests on the Company’s condensed consolidated balance sheets. Acquisition costs include cash consideration and the fair market value of shares issued as consideration. Evaluation and exploration costs are expensed as incurred. When it is determined that a mining deposit can be economically and legally extracted or produced based on established proven and probable reserves under Item 1300 of Regulation S-K, development costs incurred after such determination will be considered for capitalization. The establishment of proven and probable reserves is based on results of feasibility studies, which indicate whether a property is economically feasible. The Company also capitalizes the cost for value beyond proven and probable (“VBPP”) reserves when it acquires the rights to mining properties. Upon commencement of commercial production, capitalized costs will be amortized over their estimated useful lives or units of production, whichever is a more reliable measure. Capitalized amounts relating to a property that is abandoned or otherwise considered uneconomic for the foreseeable future are written off.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recoverability of the carrying values of mining properties is dependent upon economic reserves being discovered or developed on the properties.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and/or start-up of a project will depend on, among other things, management’s ability to raise sufficient capital for these purposes.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carrying value of mining properties for impairment whenever information or circumstances indicate the potential for impairment. This would include events and circumstances such as the inability to obtain all the necessary permits, changes in the legal status of mining properties, government actions, the results of exploration activities and technical evaluations, and changes in economic conditions, including the price of commodities or input prices.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leases real estate and lab equipment in noncancelable operating and finance leases accounted for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A contract is, or contains, a lease when there is a right to control the use of an identified asset for a period of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lease is a finance lease if one or more of the following criteria are met: (i) the lease transfers ownership of the asset by the end of the lease term, (ii) the lease contains an option to purchase the asset that is reasonably certain to be exercised, (iii) the lease term is for the major part of the remaining useful life of the asset, (iv) the present value of the lease payments equals or exceeds substantially all of the fair value of the asset, or (v) the asset is specialized in nature to have no alternative use to the lessor at the end of the lease term.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lease is classified as an operating lease if it does not meet any of the finance lease criteria noted above. The Company’s operating leases consist of real estate and the Company’s finance leases consist of lab equipment.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lease commencement, the Company recognizes a right-of-use asset and lease liability for all leases, except short-term leases with an original term of 12 months or less. A right-of-use asset is initially measured by adding the initial measurement of the lease liability, any lease payments made to the lessor at or before lease commencement, any initial direct costs incurred by the lessee, and subtracting any lease incentives received. The lease liability is initially measured at the present value of the minimum lease payments, discounted using the rate implicit in the lease or the Company’s incremental borrowing rate based on the original lease term. The rate implicit in the lease is used whenever that rate is readily determinable. If the rate implicit in the lease is not readily determinable, the Company utilizes its incremental borrowing rate, which is the rate for a collateralized loan with the same term as the lease.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lease expense for its operating leases on a straight-line basis over the lease term plus variable lease payments as incurred. The Company recognizes lease expense for its finance leases as the amortization of the right-of-use asset on a straight-line basis over the lease term or useful life of the underlying asset, interest expense on the lease liabilities, and any variable lease payments as incurred. The Company amortizes right-of-use assets for finance leases over the useful life of the asset when it is reasonably certain to exercise a purchase option, otherwise the right-of-use asset is amortized over the shorter of the lease term or the useful life of the asset. Variable lease payments that depend on an index or a rate are initially measured using the index or rate at the commencement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costs are presented in the condensed consolidated statements of operations as follows: (i) operating lease expense in General and administrative expenses, (ii) finance lease right-of-use asset amortization in Depreciation, and (iii) interest on finance lease liabilities in Interest expense, net. Finance lease right-of-use assets are presented within Property, plant and equipment, net on the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does not use derivative instruments to hedge exposures to cash flow, market, or foreign currency risks. The Company evaluates all of its financial instruments to determine if such instruments are derivatives or contain embedded derivatives that should be bifurcated from the host contract,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classification of derivative instruments, including whether such instruments should be recorded as liabilities or as equity, is re-assessed at the end of each reporting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note payable, extinguished during the three months ended March 31, 2025, contained an embedded derivative that was bifurcated from the host contract and recognized as a liability. This liability was remeasured at fair value at December 31, 2024 and the Company reviewed whether there were material changes during interim periods. Changes to the fair value are recognized as fair market gains or losses in other income and expense in the condensed consolidated statements of operations. See Note 10, “Note Payable” for further details of the Company’s note payable.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815, unvested Earnout Shares (as defined below) are classified as a liability because they are not considered to be indexed to the Company’s common stock due to the change of control provisions in the Business Combination Agreement. At each period end, the Earnout Shares are remeasured to their fair value with the changes during that period recognized in other income (expense) on the condensed consolidated statement of operations. Upon issuance and release of the shares after each Triggering Event (as defined in Note 3, “Merger Transaction”) is met, the related Earnout Shares will be remeasured to fair value at that time with the changes recognized in other income (expense), and such Earnout Shares will be reclassed to shareholders’ equity on the condensed consolidated balance sheet. As of March 31, 2025, none of the Triggering Events have occurred.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Because there is no specific guidance under U.S. GAAP that addresses the recognition and measurement of government assistance received by non-government entities, the Company accounts for government assistance by analogy to International Accounting Standards (“IAS”) 20,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Grants </w:t>
      </w:r>
      <w:r>
        <w:rPr>
          <w:rFonts w:ascii="Times New Roman" w:cs="Times New Roman" w:eastAsia="Times New Roman" w:hAnsi="Times New Roman"/>
          <w:sz w:val="18"/>
          <w:szCs w:val="18"/>
          <w:color w:val="auto"/>
        </w:rPr>
        <w:t>(“IAS 20”). The guidance within IAS 20 allows companies to choose between two options for how the associated profit or loss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deferred income over the life of an underlying asset will be presented for grants related to assets. The Company has elected to account for these grants through profit and loss over the depreciable life of the underlying assets. The guidance within IAS 20 also allows companies to choose between two options of accounting for grants related to income. The Company has elected to report this category of grants as a reduction in the related expenses. See Note 13, “Government Grants” for further details of the Company’s government grants.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 or liability classified instruments based on an assessment of the warrant’s specific terms pursuant to the guidance of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The assessment considers whether the warrants are freestanding financial instruments pursuant to ASC 480, that meet the definition of a liability pursuant to ASC 480, and whether the warrants meet all of the requirements for equity classification under ASC 815.</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2025, warrants to purchase approximately 5.28 million shares of the Company’s Common Stock are liability-classified and warrants to purchase 18.50 million shares of the Company’s common stock are equity-classified. As of December 31, 2024 all of the Company’s outstanding warrants were equity-classified.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expenses equity-based compensation to employees and non-employees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fair value of equity-based compensation awards is measured at the date of grant and amortized over the requisite service period, which is generally the vesting period, with a corresponding increase in additional paid-in capital. The Company uses the Black-Scholes option valuation model to calculate the fair value of awards granted.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case of a share-based compensation award that is either cancelled or forfeited prior to vesting, the amortized expense associated with the unvested awards is reversed. The Company has elected to account for forfeitures as they occur. See Note 12, “Equity-Based Compensation” for further information regarding equity-based compensation expense and the assumptions used in estimating the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the Company has an accumulated deficit, dividends are recorded as a reduction to additional paid in capital. Once additional paid-in capital is reduced to zero, dividends are recorded against accumulated deficit. Paid-in-kind dividends are recorded at estimated fair value in accordance with ASC 845, </w:t>
      </w:r>
      <w:r>
        <w:rPr>
          <w:rFonts w:ascii="Times New Roman" w:cs="Times New Roman" w:eastAsia="Times New Roman" w:hAnsi="Times New Roman"/>
          <w:sz w:val="18"/>
          <w:szCs w:val="18"/>
          <w:i w:val="1"/>
          <w:iCs w:val="1"/>
          <w:color w:val="auto"/>
        </w:rPr>
        <w:t>Nonmonetary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both basic and diluted earnings per share. Basic earnings per share is calculated based on the weighted average number of shares of common stock outstanding and excludes the dilutive effect of warrants, incentive units and other types of convertible securities. Diluted earnings per share is calculated based on the weighted average number of shares of common stock outstanding and the dilutive effect of warrants, incentive units and other types of convertible securities are included in the calculation. Securities are excluded from the diluted earnings per share calculation if their effect is anti-dilutive, such as in periods where a net loss has been reported.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assesses its investments and other significant relationships to determine whether it has a variable interest in any legal entities and whether or not those entities are VIEs.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it is the primary beneficiary. The primary beneficiary analysis is a qualitative analysis based on power and economics. The Company has concluded that it is the primary beneficiary and has consolidated the VIE because it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an asset-and-liability approach. Deferred income taxes reflect the impact of temporary differences between assets and liabilities recognized for tax and financial reporting purposes measured by applying enacted tax rates and laws that will be in effect when the differences are expected to reverse, net operating loss carryforwards and tax credits. Valuation allowances are provided when necessary to reduce net deferred tax assets to an amount that is more likely than not to be realized. The Company has provided a full valuation allowance against its net deferred tax assets as of March 31, 2025 and December 31, 2024. In addition, and given the Company’s cumulative losses, no current income tax benefit has been recognized in the condensed consolidated statements of operations. The Company’s policy is to include interest and penalties related to unrecognized tax benefits within the Company’s provision for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Financial Accounting Standards Board (“FASB”) issued Accounting Standards Update (“ASU”) 2025-01 -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Income—Expense Disaggregation Disclosures </w:t>
      </w:r>
      <w:r>
        <w:rPr>
          <w:rFonts w:ascii="Times New Roman" w:cs="Times New Roman" w:eastAsia="Times New Roman" w:hAnsi="Times New Roman"/>
          <w:sz w:val="18"/>
          <w:szCs w:val="18"/>
          <w:color w:val="auto"/>
        </w:rPr>
        <w:t>(Subtopic 220-40):</w:t>
      </w:r>
      <w:r>
        <w:rPr>
          <w:rFonts w:ascii="Times New Roman" w:cs="Times New Roman" w:eastAsia="Times New Roman" w:hAnsi="Times New Roman"/>
          <w:sz w:val="18"/>
          <w:szCs w:val="18"/>
          <w:i w:val="1"/>
          <w:iCs w:val="1"/>
          <w:color w:val="auto"/>
        </w:rPr>
        <w:t xml:space="preserve"> Clarifying the Effective Date</w:t>
      </w:r>
      <w:r>
        <w:rPr>
          <w:rFonts w:ascii="Times New Roman" w:cs="Times New Roman" w:eastAsia="Times New Roman" w:hAnsi="Times New Roman"/>
          <w:sz w:val="18"/>
          <w:szCs w:val="18"/>
          <w:color w:val="auto"/>
        </w:rPr>
        <w:t>. This ASU amends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Update 2024-03 to clarify that all public business entities are required to adopt the guidance in annual reporting periods beginning after December 15, 2026, and interim periods within annual reporting periods beginning after December 15, 2027. The Company is currently evaluating the impact of adopting this ASU on its financial reporting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its ASU 2024-03, </w:t>
      </w:r>
      <w:r>
        <w:rPr>
          <w:rFonts w:ascii="Times New Roman" w:cs="Times New Roman" w:eastAsia="Times New Roman" w:hAnsi="Times New Roman"/>
          <w:sz w:val="18"/>
          <w:szCs w:val="18"/>
          <w:i w:val="1"/>
          <w:iCs w:val="1"/>
          <w:color w:val="auto"/>
        </w:rPr>
        <w:t>Income Statement - Reporting Comprehensive Income (Topic 220): Disaggregation of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Expenses</w:t>
      </w:r>
      <w:r>
        <w:rPr>
          <w:rFonts w:ascii="Times New Roman" w:cs="Times New Roman" w:eastAsia="Times New Roman" w:hAnsi="Times New Roman"/>
          <w:sz w:val="18"/>
          <w:szCs w:val="18"/>
          <w:color w:val="auto"/>
        </w:rPr>
        <w:t>. The ASU requires additional disclosures by disaggregating the costs and expense line items that are presented on the face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This ASU is effective for fiscal years beginning after December 15, 2026, and interim periods within fiscal years beginning after December 15, 2027, with early adoption permitted. The ASU should be applied prospectively. Retrospective application is permitted for all prior periods presented in the financial statements. The Company is currently evaluating the impact of adopting this ASU on its financial reporting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 usefulness of income tax disclosures. The amendments in this ASU provide for enhanced income tax information primarily through changes to the rate reconciliation and income taxes paid. This ASU is effective for the Company prospectively to all annual periods beginning after December 15, 2024. The Company is currently evaluating the impact of this standard on its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Compensation - Stock Compensation (Topic 718):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which improves current GAAP by adding an illustrative example to demonstrate how an entity should apply the scope guidance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 profits interest award should be accounted for in accordance with Topic 718. This ASU is effective for fiscal years beginning after December 15, 2024, including interim periods within those fiscal years and did not have a material effect on the Company’s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MERGER TRANSACTION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1, “Organization”, IPXX and USARE LLC entered into a Business Combination Agreement on August 21, 2024. In connection with the transactions contemplated by the Merger, the following funding events occurred prior to the Closing:</w:t>
      </w:r>
    </w:p>
    <w:p>
      <w:pPr>
        <w:spacing w:after="0" w:line="162" w:lineRule="exact"/>
        <w:rPr>
          <w:sz w:val="20"/>
          <w:szCs w:val="20"/>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21, 2024, the Company and certain accredited investors, including certain funds related to IPXX entered into Securities Purchase Agreements (“SPA”) for such investors to purchase (i) USARE LLC Class A Convertible Preferred Units and (ii) USARE Class A Preferred Investor Warrants for gross cash proceeds of $25.5 million and a subscription receivable of $1.25 million for shares issued in exchange for forgiveness of 50% of Mr. Michael Blitzer’s, IPXX’s Chairman and Chief Executive Officer, promissory note at Closing.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2025, the Company and certain accredited investors, including USARE LLC Class A-2 Convertible Preferred Unit Investors, Mr. Blitzer, and Collective Capital Management LLC entered into SPAs for such investors to purchase (i) USARE LLC Class A-2 Convertible Preferred Units and (ii) USARE LLC Class A Preferred Investor Warrants for an aggregate purchase price of approximately $15.3 million which closed on February 3,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whereby USARE LLC is the successor continuing existing business operations. Outstanding Class A-1 and A-2 preferred units of USARE LLC were converted into Series A convertible preferred stock on a one-for-one basis taking into account payment-in-kind dividends on such units from the date of issuance through the Closing Date. Immediately prior to the Closing Date, outstanding Class C and C-1 preferred units of USARE LLC were converted into Class B units taking into account certain antidilution provisions and payment-in-kind dividends on such units from the date of issuance through the Closing Date. Outstanding Class A and B units including the newly converted C and C-1 preferred units of USARE LLC were converted into shares of Common Stock using an exchange ratio of approximately 0.204. Additionally, immediately prior to the effective time of the Merger, the following occurred:</w:t>
      </w:r>
    </w:p>
    <w:p>
      <w:pPr>
        <w:spacing w:after="0" w:line="18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USARE LLC’s unvested incentive units became immediately vested and all vested incentive units were converted to Common Stock, see Note 12, “Equity-Based Compensation”;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USARE LLC’s warrants to purchase Class B units and Class C preferred units were exercised on a cashless basis and converted to Common Stock, see Note 11, “Mezzanine and Stockholders’ (Deficit)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7" w:name="page18"/>
    <w:bookmarkEnd w:id="17"/>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Hatch Note converted into approximately 0.68 million of USARE LLC’s Class A units, see Note 10, “Note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approximately 0.78 million Series A Preferred Stock and Series A Preferred Investor Warrants exercisable for an aggregate of approximately 0.78 million shares of the Common Stock at $12.00 per share pursuant to SPAs with two accredited investors, including an affiliate of IPXX, for an aggregate consideration of $8.0 million;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approximately 0.13 million shares of Series A Preferred Stock in exchange for Mr. Blitzer’s forgiveness of the remaining 50% of the convertible promissory note;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approximately 0.88 million shares of Common Stock pursuant to USARE LLC’s arrangements with Cohen &amp; Company Capital Markets, A Division of J.V.B. Financial Group, LLC (“CCM”).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equity instruments outstanding immediately following the Merger and the PIPE investment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6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45"/>
        </w:trPr>
        <w:tc>
          <w:tcPr>
            <w:tcW w:w="7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140" w:type="dxa"/>
            <w:vAlign w:val="bottom"/>
            <w:tcBorders>
              <w:bottom w:val="single" w:sz="8" w:color="CCEEFF"/>
            </w:tcBorders>
          </w:tcPr>
          <w:p>
            <w:pPr>
              <w:spacing w:after="0"/>
              <w:rPr>
                <w:sz w:val="21"/>
                <w:szCs w:val="21"/>
                <w:color w:val="auto"/>
              </w:rPr>
            </w:pPr>
          </w:p>
        </w:tc>
      </w:tr>
      <w:tr>
        <w:trPr>
          <w:trHeight w:val="216"/>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 shareholders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Inflection Point Holdings II LLC</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USARE LLC shareholders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72,748</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6"/>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to CCM (Issuance cost)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Common Stock</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7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A Preferred Stock - USARE LLC shareholders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4,318</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 A Preferred Stock - PIPE Investors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50"/>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A Preferred Stock - Blitzer promissory note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3"/>
        </w:trPr>
        <w:tc>
          <w:tcPr>
            <w:tcW w:w="7280" w:type="dxa"/>
            <w:vAlign w:val="bottom"/>
            <w:tcBorders>
              <w:top w:val="single" w:sz="8" w:color="CCEEFF"/>
            </w:tcBorders>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Total Voting Shares</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87,185</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Merger, approximately $22.8 million of cash held in trust, net of redemptions by IPXX’s public shareholders, became available for use by the Company as well as $8.0 million proceeds received from the closing of the PIPE investment. In addition, the Company incurred certain Earnout obligations and entered into FPAs, discussed further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net proceeds from the Merger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53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PIPE investment</w:t>
            </w:r>
          </w:p>
        </w:tc>
        <w:tc>
          <w:tcPr>
            <w:tcW w:w="5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Cash - IPXX Trust Account</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22,843</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IPXX Op Account (Blitzer note)</w:t>
            </w:r>
          </w:p>
        </w:tc>
        <w:tc>
          <w:tcPr>
            <w:tcW w:w="5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in IPXX going into the Merger</w:t>
            </w:r>
          </w:p>
        </w:tc>
        <w:tc>
          <w:tcPr>
            <w:tcW w:w="5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30,867</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40" w:type="dxa"/>
            <w:vAlign w:val="bottom"/>
            <w:tcBorders>
              <w:bottom w:val="single" w:sz="8" w:color="auto"/>
            </w:tcBorders>
            <w:vMerge w:val="continue"/>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allocated to equity</w:t>
            </w:r>
          </w:p>
        </w:tc>
        <w:tc>
          <w:tcPr>
            <w:tcW w:w="5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for the PIPE investment</w:t>
            </w:r>
          </w:p>
        </w:tc>
        <w:tc>
          <w:tcPr>
            <w:tcW w:w="5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FPA Prepayments</w:t>
            </w:r>
          </w:p>
        </w:tc>
        <w:tc>
          <w:tcPr>
            <w:tcW w:w="5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(20,789)</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and Prepayments</w:t>
            </w: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36"/>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used immediately after the merger</w:t>
            </w:r>
          </w:p>
        </w:tc>
        <w:tc>
          <w:tcPr>
            <w:tcW w:w="54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to USARE LLC</w:t>
            </w:r>
          </w:p>
        </w:tc>
        <w:tc>
          <w:tcPr>
            <w:tcW w:w="5480" w:type="dxa"/>
            <w:vAlign w:val="bottom"/>
            <w:gridSpan w:val="2"/>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allocated to equity</w:t>
            </w:r>
          </w:p>
        </w:tc>
        <w:tc>
          <w:tcPr>
            <w:tcW w:w="5480" w:type="dxa"/>
            <w:vAlign w:val="bottom"/>
            <w:gridSpan w:val="2"/>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USARE LLC</w:t>
            </w: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spacing w:after="0"/>
              <w:rPr>
                <w:sz w:val="21"/>
                <w:szCs w:val="21"/>
                <w:color w:val="auto"/>
              </w:rPr>
            </w:pPr>
          </w:p>
        </w:tc>
        <w:tc>
          <w:tcPr>
            <w:tcW w:w="54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360" w:type="dxa"/>
            <w:vAlign w:val="bottom"/>
            <w:vMerge w:val="restart"/>
          </w:tcPr>
          <w:p>
            <w:pPr>
              <w:jc w:val="right"/>
              <w:ind w:right="40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Earnout Liability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Merger, USAR is required to issue to certain USARE LLC shareholders as of the effective date of the Merger and CCM up to 10.10 million additional shares of Common Stock in two tranches (the “Earnout Shares”) upon certain triggering events. The first tranche of the Earnout includes 5.05 million Earnout Shares that would be distributed if, during the time period beginning on the date of the first anniversary of the Closing and ending on the date of the sixth anniversary of the Closing (the “Earnout Period”), the market price of the Common Stock is greater than or equal to $15.00 per share and less than $20.00 per share for a period of at least twenty out of thirty consecutive trading days. The second tranche of 5.05 million Earnout Shares would be distributed if, during the Earnout Period, the market price of the Common Stock is greater than or equal to $20.00 per share. The aggregate Earnout shares may also vest upon a change of control as defined in the Business Combination Agreement pursuant to which USAR or its shareholders have the right to receive consideration if the implied value per share of Common Stock is equal to or above such price targets, with the amount of such consideration dependent upon the implied per share value reaching the thresholds discussed above.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considered the guidance within ASC 815 and determined that the contractual requirement to issue the Earnout Shares meets the definition of a derivative. Management next considered whether or not the Earnout Shares meet the requirements for the scope exception under the “Own Equity” scope exception in ASC 815 for contracts indexed to an entity’s own equity. The change of control clause in the Business Combination Agreement represents an exercise contingency related to an event outside of the Company’s control, which is not based on an observable market or an observable index. The obligation to issue the Earnout Shares that include exercise contingencies that are outside the control of the Company are classified as liabilities and excluded from equity classification. Instruments not classified in equity do not meet the “Own Equity” scope exception.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Earnout Shares are classified as liabilities and no additional analysis under ASC 815 is required. The Merger is accounted for as a reverse recapitalization and the Earnout Shares represent consideration of IPXX securities that are being transferred to the holders of the Company. As such, the Earnout Shares are recorded through the recapitalization of equity within additional paid-in capital upon recognition and are remeasured on a recurring basis. As of the Closing Date, the Earnout Shares had a fair value of $99.6 million. As of March 31, 2025, the Earnout Shares had a fair value of $46.2 million, with the changes in the fair value between the Closing Date and March 31, 2025 of $53.4 million recognized as a gain in fair value of financial instruments under other income (expense) within the condensed consolidated statements of operations. See Note 4, “Fair Value Measurements”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11, 2025, IPXX entered into a FPA with three separate investors (“Sellers”) pursuant to which the investors agreed to hold up to a total of approximately 1.89 million publicly held Class A ordinary shares of IPXX (“Public Shares”) in connection with the Closing of the Merger. Each FPA amended, restated and superseded in its entirety a separate FPA with each of the Sellers, dated March 10, 2025, which had identical terms to those described herein, except that the Reset Price (as defined in the FPAs) was not subject to the floor price described below. For purposes of the FPAs, the Public Shares held by each Seller are referred to as such Seller’s “Maximum Shares.” Each Seller, acting separately and solely for its own account, was permitted, if necessary, to (i) reverse its previous election to redeem its Public Shares in connection with the Merger Transactions pursuant to the redemption rights set forth in IPXX’s amended and restated memorandum and articles of association or (ii) purchase Public Shares through a broker in the open market from holders of Public Shares (other than IPXX), including from holders who previously elected to redeem their Public Shares in connection with the Merger Transactions pursuant to the redemption rights set forth in IPXX’s amended and restated memorandum and articles of association. The aggregate number of Public Shares subject to each FPA (the “FPA Shares”) was the aggregate number of Public Shares as notified to the Company by the applicable Seller, but in no event more than such Seller’s Maximum Shares set forth above. Each Seller notified the Company that it would subject the Maximum Shares to their respective FPAs. The FPA Shares are subject to reduction following the full or partial optional early termination of the FPAs as described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Each FPA provided that no later than the earlier of (a) one business day after the Closing and (b) the date any assets from IPXX’s trust account are disbursed in connection with the Merger Transaction, the Seller under such FPA was paid directly, out of the funds held in IPXX’s trust account, an amount (the “Prepayment Amount”) equal to the product of (i) the FPA Shares and (ii) an amount (the “Initial Price”) equal to the redemption price per share payable to investors who elected to redeem in connection with the Merger Transactions, which Initial Price was approximately $11.00. The Company prepaid approximately $20.8 million to the trust account at the closing of the merger to secure its purchase obligation to repurchase for any outstanding FPA Shares at the Initial Price per share of $11.00 on the date that is 90 days after the closing of the merger (the “Maturity Date”). On any day the Nasdaq is open for trading following the Closing of the Merger through the Maturity Date, the Sellers may sell any, or all, of their FPA Shares (the “Terminated Shares”). For any Terminated Shares, the Seller must remit the Initial Price to the Company but retains any profit over that price. At the Maturity Date, the Company is obligated to purchase any outstanding FPA Shares at a price per share equal to the Initial Price.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optional early termination economically results in the prepaid forward contract being akin to a written put option with the Sellers’ right to sell all or a portion of the FPA Shares to the Company on the Maturity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guidance in ASC 815, the FPAs are each a single freestanding financial instrument comprising of a subscription receivable under SEC Rule 5-02.29 of Regulation S-X. The FPAs were not precluded from equity classification and therefore the Company recorded the FPAs within equity as a subscription receivable. The subscription receivable was initially measured at its fair value of $20.4 million. The difference between the fair value of the subscription receivable and the prepayment amount of $20.8 million was recorded to additional paid in capital. As the FPA Shares are equity-classified, they are not remeasured as long as they remain classified within equity.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various dates between the closing of the merger and March 31, 2025, the Sellers exercised their rights under the FPAs with respect to approximately 0.30 million FPA Shares. Upon the optional early termination, the Sellers remitted cash to the Company at the Initial Price, resulting in cash proceeds received in the amount of $3.3 million from the Sellers which was recorded as a reduction of the subscription receivable at the Terminated Shares’ fair value with an offset to additional paid-in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financial instruments measured at fair value on a recurring basis as of March 31, 2025 and December 31,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20,087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20,087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46,232</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34,475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34,475</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80,707</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15,709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15,709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Money market funds are valued at cost, which approximates fair value. These amounts are included on the condensed consolidated balance sheets in cash and cash equivalents as of March 31, 2025 and December 31, 2024.</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balances of assets and liabilities categorized within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of the fair value hierarchy measured at fair value on a recurring basis are reconciled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4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Earnout</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4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40" w:type="dxa"/>
            <w:vAlign w:val="bottom"/>
          </w:tcPr>
          <w:p>
            <w:pPr>
              <w:spacing w:after="0"/>
              <w:rPr>
                <w:sz w:val="21"/>
                <w:szCs w:val="21"/>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Establishment of earnout and warrant liabilities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40,652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140,291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(53,407)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(60,300)</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the Note upon conversion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7"/>
        </w:trPr>
        <w:tc>
          <w:tcPr>
            <w:tcW w:w="4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vMerge w:val="continue"/>
            <w:shd w:val="clear" w:color="auto" w:fill="CCEEFF"/>
          </w:tcPr>
          <w:p>
            <w:pPr>
              <w:spacing w:after="0"/>
              <w:rPr>
                <w:sz w:val="21"/>
                <w:szCs w:val="21"/>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80,707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Valuation of the Derivative Liability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26, 2025, the Company remeasured the derivative liability using the Black-Scholes model upon the change in terms of the Hatch Note. See Note 10, “Note Payable” for additional information regarding the Hatch Note. The following table summarizes the significant inputs: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8140" w:type="dxa"/>
            <w:vAlign w:val="bottom"/>
          </w:tcPr>
          <w:p>
            <w:pPr>
              <w:spacing w:after="0"/>
              <w:rPr>
                <w:sz w:val="16"/>
                <w:szCs w:val="16"/>
                <w:color w:val="auto"/>
              </w:rPr>
            </w:pPr>
          </w:p>
        </w:tc>
        <w:tc>
          <w:tcPr>
            <w:tcW w:w="1700" w:type="dxa"/>
            <w:vAlign w:val="bottom"/>
            <w:gridSpan w:val="4"/>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February 26,</w:t>
            </w:r>
          </w:p>
        </w:tc>
        <w:tc>
          <w:tcPr>
            <w:tcW w:w="124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r>
      <w:tr>
        <w:trPr>
          <w:trHeight w:val="245"/>
        </w:trPr>
        <w:tc>
          <w:tcPr>
            <w:tcW w:w="814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C-1 unit price</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unit price</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- 59.1%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- 59.1%</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- 4.34%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- 4.34%</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risk spread</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29.00%</w:t>
            </w: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- 0.57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- 0.57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Valuations of the Earnout Liability</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valued the earnout liability using a Monte Carlo simulation which includes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unobservable inputs on the initial valuation date (March 13, 2025) and March 31, 2025. The following table summarizes the significant inputs: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8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March 13,</w:t>
            </w:r>
          </w:p>
        </w:tc>
        <w:tc>
          <w:tcPr>
            <w:tcW w:w="100" w:type="dxa"/>
            <w:vAlign w:val="bottom"/>
          </w:tcPr>
          <w:p>
            <w:pPr>
              <w:spacing w:after="0"/>
              <w:rPr>
                <w:sz w:val="16"/>
                <w:szCs w:val="16"/>
                <w:color w:val="auto"/>
              </w:rPr>
            </w:pPr>
          </w:p>
        </w:tc>
        <w:tc>
          <w:tcPr>
            <w:tcW w:w="100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6"/>
                <w:szCs w:val="16"/>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Valuations of the Warrant Liability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issued Series A Investor Warrants in exchange for prior Class A Purchase Warrants in connection with the Merger and related transactions. The Company valued the liability classified Series A Investor Warrants using a Monte Carlo simulation, which includes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unobservable inputs on the initial valuation date (March 13, 2025) and March 31, 2025. The following table summarizes the significant inputs: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34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March 13,</w:t>
            </w:r>
          </w:p>
        </w:tc>
        <w:tc>
          <w:tcPr>
            <w:tcW w:w="100" w:type="dxa"/>
            <w:vAlign w:val="bottom"/>
          </w:tcPr>
          <w:p>
            <w:pPr>
              <w:spacing w:after="0"/>
              <w:rPr>
                <w:sz w:val="16"/>
                <w:szCs w:val="16"/>
                <w:color w:val="auto"/>
              </w:rPr>
            </w:pPr>
          </w:p>
        </w:tc>
        <w:tc>
          <w:tcPr>
            <w:tcW w:w="100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6"/>
                <w:szCs w:val="16"/>
                <w:color w:val="auto"/>
              </w:rPr>
            </w:pPr>
          </w:p>
        </w:tc>
      </w:tr>
      <w:tr>
        <w:trPr>
          <w:trHeight w:val="245"/>
        </w:trPr>
        <w:tc>
          <w:tcPr>
            <w:tcW w:w="3480" w:type="dxa"/>
            <w:vAlign w:val="bottom"/>
            <w:tcBorders>
              <w:bottom w:val="single" w:sz="8" w:color="CCEEFF"/>
            </w:tcBorders>
          </w:tcPr>
          <w:p>
            <w:pPr>
              <w:spacing w:after="0"/>
              <w:rPr>
                <w:sz w:val="21"/>
                <w:szCs w:val="21"/>
                <w:color w:val="auto"/>
              </w:rPr>
            </w:pPr>
          </w:p>
        </w:tc>
        <w:tc>
          <w:tcPr>
            <w:tcW w:w="5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60.0 - 65.0%</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65.0 - 80.0%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3.95 - 4.19%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3.90 - 4.17%</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Call term (in years)</w:t>
            </w: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r>
      <w:tr>
        <w:trPr>
          <w:trHeight w:val="637"/>
        </w:trPr>
        <w:tc>
          <w:tcPr>
            <w:tcW w:w="34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is comprised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 - Buildings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 Magnet plant equipment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30,159</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27,731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28,895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26,529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lease-right-of-use assets, net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26,529</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 expense is comprised of the following (in thousands):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VARIABLE INTEREST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Round Top Mountain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17, 2021, the Company completed the acquisition of 80% of the equity interests of RTMD, pursuant to a contribution agreement with the Company, Texas Mineral Resource Corp. (“TMRC”), and RTMD, whereby TMRC and the Company contributed their respective rights and interests to and in Round Top Mountain in Texas to RTMD. Concurrently, the Company, TMRC, and RTMD entered into a limited liability company agreement of RTMD which documented the governance of RTMD. This acquisition resulted in the consolidation of RTMD, which is a VIE, and the recording of a non-controlling interest for the remaining 20% of equity interest. Due to TMRC’s failure to fund its share of mandatory capital contributions called for by USARE LLC, the Company’s ownership interest in RTMD has increased to approximately 80.57% as of March 31, 2025 and December 31, 2024.</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June 26, 2023, RTMD, the USARE LLC and TMRC entered into an amended and restated limited liability company agreement of RTMD pursuant to which, in the event that TMRC does not fund its share of mandatory capital contributions called for by USARE LLC as the manager of RTMD, USARE LLC is obligated to cover the shortfall by making additional capital contributions to RTMD (or in the event that USARE LLC does not fund, the capital call will be withdrawn). If USARE LLC does fund the capital contribution, additional equity interests in RTMD will be issued to USARE LLC and TMRC will be proportionally diluted in accordance with the terms of the amended and restated limited liability company agreement. As of March 31, 2025 and December 31, 2024, TMRC’s interest in RTMD had been reduced to 19.43% as a result of failing to fund calls for mandatory cash contributions. See Note 2, “Summary of Significant Accounting Policies” for the Company’s accounting policy related to VIEs.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Company’s condensed consolidated financial statements include assets and liabilities associated with RTMD. The following were recorded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balance sheets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Mineral interests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17,125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Consolidated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RTMD did not record depletion expense for the Mineral interests for the three months ended March 31, 2025 and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RTMD’s creditors have no recourse against the Company for the RTMD consolidated liabilities included within the Company’s condensed consolidated balance sheets as of March 31,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of the consolidated VIE can only be used to settle the obligations of the consolidated VIE and not the obligations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Interests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acquired two mineral rights leases along with an associated groundwater lease in Hudspeth County, Texas as part of the acquisition of RTMD. Mineral property acquisition costs, including acquired intangibles, licenses and lease payments, are capitalized. The net carrying value of mineral rights were $17.1 million as of March 31, 2025 and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losses are recorded on mineral interests when indicators of impairment are present and the carrying amount exceeds the associated estimated future undiscounted cash flows. As of March 31, 2025 and December 31, 2024, the Company had not recognized any impairment losses related to mineral interests held.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ACCRUED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accrued liabilities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2,460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20" w:type="dxa"/>
            <w:vAlign w:val="bottom"/>
          </w:tcPr>
          <w:p>
            <w:pPr>
              <w:spacing w:after="0"/>
              <w:rPr>
                <w:sz w:val="19"/>
                <w:szCs w:val="19"/>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liabilities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3,831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Future Environmental Contingency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planned exploration and development activities are subject to various federal and state laws and regulations governing the protection of the environment. These laws and regulations are continually changing and generally have become more restrictive. The Company will conduct its operations to protect public health and the environment and believes that its current engineering operations are materially in compliance with all applicable laws and regulations. While the Company’s mining activities are not yet operational, the Company has made, and expects to make in the future, expenditures to comply with all local and federal environmental laws and regulations. The ultimate amount of reclamation and other future site-restoration costs to be incurred for future mining interests is unknown and uncertain as of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or litigation arising in the ordinary course of business. In addition, the Company may receive notices alleging infringement of patents or other intellectual property rights. The outcomes of any legal proceedings, claims, notices or litigation are subject to uncertainty, and any claims against the Company, whether meritorious or not, can be time-consuming, result in costly litigation, require significant management time, create negative perceptions with communities, stakeholders, and government agencies and result in the diversion of significant operational resources. If an unfavorable outcome was to occur in any proceeding, claim or litigation, we could be adversely affected in the period in which they are resolved and the impact could be material to the Company’s business, financial condition, cash flow or results of operations, depending on the specific circumstances of the outcome. The Company accrues loss contingencies when it is both probable that the Company will incur the loss and when it can reasonably estimate the amount of the loss or range of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Ramco Complaint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complaint was filed in Delaware Chancery Court by Ramco Asset Management, LLC (“</w:t>
      </w:r>
      <w:r>
        <w:rPr>
          <w:rFonts w:ascii="Times New Roman" w:cs="Times New Roman" w:eastAsia="Times New Roman" w:hAnsi="Times New Roman"/>
          <w:sz w:val="18"/>
          <w:szCs w:val="18"/>
          <w:i w:val="1"/>
          <w:iCs w:val="1"/>
          <w:color w:val="auto"/>
        </w:rPr>
        <w:t>Ramco</w:t>
      </w:r>
      <w:r>
        <w:rPr>
          <w:rFonts w:ascii="Times New Roman" w:cs="Times New Roman" w:eastAsia="Times New Roman" w:hAnsi="Times New Roman"/>
          <w:sz w:val="18"/>
          <w:szCs w:val="18"/>
          <w:color w:val="auto"/>
        </w:rPr>
        <w:t>”), US Trading Company Metals RE, LLC, and Dinsha Dynasty Trust (collectively, the “</w:t>
      </w:r>
      <w:r>
        <w:rPr>
          <w:rFonts w:ascii="Times New Roman" w:cs="Times New Roman" w:eastAsia="Times New Roman" w:hAnsi="Times New Roman"/>
          <w:sz w:val="18"/>
          <w:szCs w:val="18"/>
          <w:i w:val="1"/>
          <w:iCs w:val="1"/>
          <w:color w:val="auto"/>
        </w:rPr>
        <w:t>Plaintiffs</w:t>
      </w:r>
      <w:r>
        <w:rPr>
          <w:rFonts w:ascii="Times New Roman" w:cs="Times New Roman" w:eastAsia="Times New Roman" w:hAnsi="Times New Roman"/>
          <w:sz w:val="18"/>
          <w:szCs w:val="18"/>
          <w:color w:val="auto"/>
        </w:rPr>
        <w:t>”) on July 29, 2022 against USA Rare Earth, LLC (“</w:t>
      </w:r>
      <w:r>
        <w:rPr>
          <w:rFonts w:ascii="Times New Roman" w:cs="Times New Roman" w:eastAsia="Times New Roman" w:hAnsi="Times New Roman"/>
          <w:sz w:val="18"/>
          <w:szCs w:val="18"/>
          <w:i w:val="1"/>
          <w:iCs w:val="1"/>
          <w:color w:val="auto"/>
        </w:rPr>
        <w:t>USA Rare Earth</w:t>
      </w:r>
      <w:r>
        <w:rPr>
          <w:rFonts w:ascii="Times New Roman" w:cs="Times New Roman" w:eastAsia="Times New Roman" w:hAnsi="Times New Roman"/>
          <w:sz w:val="18"/>
          <w:szCs w:val="18"/>
          <w:color w:val="auto"/>
        </w:rPr>
        <w:t>”), Morzev Pty Ltd., Mordechai Gutnick ATF the Morzev Trust, Mordechai Gutnick, and Pini Althaus (collectively, the “</w:t>
      </w:r>
      <w:r>
        <w:rPr>
          <w:rFonts w:ascii="Times New Roman" w:cs="Times New Roman" w:eastAsia="Times New Roman" w:hAnsi="Times New Roman"/>
          <w:sz w:val="18"/>
          <w:szCs w:val="18"/>
          <w:i w:val="1"/>
          <w:iCs w:val="1"/>
          <w:color w:val="auto"/>
        </w:rPr>
        <w:t>Defendants</w:t>
      </w:r>
      <w:r>
        <w:rPr>
          <w:rFonts w:ascii="Times New Roman" w:cs="Times New Roman" w:eastAsia="Times New Roman" w:hAnsi="Times New Roman"/>
          <w:sz w:val="18"/>
          <w:szCs w:val="18"/>
          <w:color w:val="auto"/>
        </w:rPr>
        <w:t>”), captioned Ramco Asset Management, LLC v. USA Rare Earth, LLC, C.A. No. 2022-0665-SG (as amended, the “</w:t>
      </w:r>
      <w:r>
        <w:rPr>
          <w:rFonts w:ascii="Times New Roman" w:cs="Times New Roman" w:eastAsia="Times New Roman" w:hAnsi="Times New Roman"/>
          <w:sz w:val="18"/>
          <w:szCs w:val="18"/>
          <w:i w:val="1"/>
          <w:iCs w:val="1"/>
          <w:color w:val="auto"/>
        </w:rPr>
        <w:t>Complaint</w:t>
      </w:r>
      <w:r>
        <w:rPr>
          <w:rFonts w:ascii="Times New Roman" w:cs="Times New Roman" w:eastAsia="Times New Roman" w:hAnsi="Times New Roman"/>
          <w:sz w:val="18"/>
          <w:szCs w:val="18"/>
          <w:color w:val="auto"/>
        </w:rPr>
        <w:t>”). In connection with this matter and a disagreement regarding the number of units of USA Rare Earth LLC that were issued to the Plaintiffs in transactions during 2019, the Complaint alleged causes of action for breach of contract, breach of fiduciary duty, breach of the Corporations Act (Australia), fraud and misrepresentation, and breach of the duty of good faith and fair dealing. The Complaint seeks a variety of relief, including compensatory and punitive damages, curative equity, attorneys fees and expenses and other relief as may be granted by the court. USA Rare Earth thereafter filed a motion to dismiss Plaintiffs’ claims. After motion practice and argument, the court dismissed all claims, except for Ramco’s alleged breach of contract claim and alleged breach of good faith and fair dealing as asserted against USA Rare Earth. The remaining plaintiff has not quantified its alleged damages. Ramco and USA Rare Earth are now engaged in discovery, with trial scheduled for November 2025. USA Rare Earth intends to contest this matter vigorously.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Kleiner Notice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April 1, 2025, the Company received notice from Stewart Kleiner asserting that a milestone triggering payment of certain equity outlined in a May 10, 2019 advisory agreement had been achieved as a result of the Company’s reverse merger with Inflection Point Acquisition Corp. II. The Company does not believe that the milestone was triggered and as such has denied payment at this time. A July 28, 2019 amendment to the advisory agreement guaranteed payment of the equity by Mordechai Gutnick in the event of a conflict between Mr. Kleiner and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this report, the Company has not accrued a loss with respect to the Ramco Complaint or Kleiner Notice described above, the outcome of which is uncertain.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Bonuses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agreements with certain individuals and entities that require payment of cash and/or equity upon certain criteria as defined by the applicable agreement. The transaction bonuses are recognized when they are deemed to be probable or when the qualifying transaction has been consummated.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the Company completed the Merger, which triggered $1.9 million of cash transaction bonuses to certain employees and consultants pursuant to existing transaction bonus agreements. Of the $1.9 million cash bonuses, $1.15 million was paid out in the three months ended March 31, 2025, and $0.8 million was accrued as of March 31, 2025. The expense for the cash bonuses was recognized in Selling, general and administrative expense. In addition, approximately 0.38 million Class A Units were issued to certain consultants pursuant to existing bonus agreements which provided for the payment of these Class A Units immediately prior to the completion of the Merger. The Class A Units were then converted to common stock at closing for $0.8 million. The Company also accrued $0.2 million for restricted stock units to be issued to certain employees. The expense for the equity transaction bonuses was recognized in Equity-based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has agreements in place regarding the potential payment of up to $1.5 million in cash related to other transaction bonuses which are not triggered by the Merger. No amounts were accrued for these bonuses as of March 31, 2025 and December 31, 2024 as the triggering event had not occurred.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two offices in Wheat Ridge, Colorado, which expire on March 31, 2028 and a regional office in Sierra Blanca, Texas, which expires May 1, 2025.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2024, the Company entered into finance lease agreements for lab equipment with purchase options that the Company is reasonably certain to exercise in its magnet plant in Stillwater, Oklahoma, which commenced in the three months ended March 31, 2025 and will expire in March of 2028 and 2029. The agreements did not include termination options for either party to the lease or restrictive financial or other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Balance Sheet Components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finance and operating leases were recorded on the condensed consolidated balance sheets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assets are reported net of accumulated amortization of $6 thousand as of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Maturities of Lease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finance and operating leases on an annual undiscounted cash flow basis as of March 31, 2025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(9 months)</w:t>
            </w:r>
          </w:p>
        </w:tc>
        <w:tc>
          <w:tcPr>
            <w:tcW w:w="3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3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1,145</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1,052</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94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Lease Terms and Discount Rates: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certain information related to lease terms and discount rates: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4.51%</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0.29</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4.28%</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8.76%</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finance and operating lease activity (in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amortization expense</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liability interest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expense</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8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obtained finance lease right-of-use assets and operating lease right-of-use assets in exchange for lease liabilities of $1.23 million and $427 thousand, respectively, for the three months ended March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10. NOTE PAYABLE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28, 2023, USARE LLC and Hatch LTD (“Hatch”) entered into an unsecured $1.0 million Senior Convertible Promissory Note agreement (the “Note”) with a 10% interest rate. The Note had an original maturity date of July 28, 2025, when the principal plus accrued interest of $200 thousand would become due, barring earlier conversion under certain events. A Side Letter and Memorandum of Understanding, signed contemporaneously with the Note, provided for potential issuances of an aggregate amount of $4.0 million in additional notes in two additional tranches, the option of which expired, unexercised, one year after the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originally had conversion options that could be triggered under the following scenarios: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financing – Capital issuance of at least $100 million. Upon the occurrence of a qualified financing, the principal and unpaid accrued interest under the Note will automatically convert, with the Company having the option to pay accrued interest in cash, to a number of securities equal to the outstanding balance divided by the lesser of: (i) discount of 80% times the per unit purchase price paid in the qualified financing, and (ii) the valuation cap of $600 million divided by the fully diluted capitalization just prior to closing.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financing – Any capital issuance by the Company that does not constitute a qualified financing. Upon the occurrence of a non-qualified financing, the principal and unpaid accrued interest may be paid in full or converted, at Hatch’s option, to a number of securities equal to the outstanding balance divided by the lesser of: (i) discount of 80% times the per unit purchase price paid in the non-qualified financing, and (ii) the valuation cap of $600 million divided by the fully diluted capitalization just prior to closing; however, should the non-qualified financing be consummated based upon a post-money valuation of the Company of less than the valuation cap of $600 million, the conversion will be subject to the Company’s written consent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conversion – A sale, transfer, or other disposition of all or substantially all of the Company’s assets or exclusive license to all or substantially all of the Company’s material intellectual property, a merger or consolidation with another entity, or a transfer of equity of more than 50% of the outstanding voting securities. The principal and unpaid and accrued interest may be paid in full or converted, at Hatch’s option, to a number of securities equal to the outstanding balance divided by the quotient of the valuation cap of $600 million divided by the fully diluted capitalization just prior to closing</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conversion – Conversion at maturity. The principal and unpaid accrued interest may be paid in full or converted, at Hatch’s option, to a number of securities equal to the outstanding balance divided by the quotient of the valuation cap of $600 million divided by the fully diluted capitalization just prior to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issuance, the Company determined that the conversion feature under certain scenarios of the Note was an embedded derivative in accordance with ASC</w:t>
      </w:r>
    </w:p>
    <w:p>
      <w:pPr>
        <w:spacing w:after="0" w:line="27" w:lineRule="exact"/>
        <w:rPr>
          <w:sz w:val="20"/>
          <w:szCs w:val="20"/>
          <w:color w:val="auto"/>
        </w:rPr>
      </w:pPr>
    </w:p>
    <w:p>
      <w:pPr>
        <w:jc w:val="both"/>
        <w:ind w:firstLine="8"/>
        <w:spacing w:after="0" w:line="252" w:lineRule="auto"/>
        <w:tabs>
          <w:tab w:leader="none" w:pos="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obtained a fair value analysis and valuation completed by a third-party specialist and recorded a discount of $446 thousand on the Note with an offset to derivative liability for the initial recognition of the compound embedded derivative. The discount was amortized using the effective interest rate method over the expected life of the Note. Additional valuations of the compound embedded derivative were done by third-party specialists at each subsequent year end to adjust the balance of the derivative liability. Management reviewed the valuation of the embedded derivative periodically to ensure no material change has occurred during the interim reporting periods during those annual years. Based on a valuation performed as of December 31, 2024, the Company’s derivative liability was $1.2 million. Changes to the fair value were recognized as fair market gains or losses in other income (expense) in the condensed consolidated statements of operations.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26, 2025, USARE LLC and Hatch entered into a Letter Agreement to settle the Note in full by issuing approximately 0.68 million shares of USARE LLC Class A common to Hatch, contingent upon success of the Merger. The Letter Agreement effectively modified the conversion terms by changing the type and number of shares in which the Note would be converted. On February 26, 2025, the Company accounted for the modification in terms by adjusting the December 31, 2024 valuation for the change to fair value of the derivative liability. A gain on the derivative liability of $716 thousand was recognized during the three months ended March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The Note was settled as of the Closing Date of the Merger and accounted for as an extinguishment. The Company did not fair value the derivative immediately before extinguishment due to the relative proximity to the modification. The fair value of the USARE LLC Class A common issued to Hatch was calculated using the closing common stock price on March 13, 2025, adjusted for the conversion ratio used to convert USARE LLC Class A units to Common Stock at the Merger. The Company recognized a loss on extinguishment of $11 thousand.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Closing of the Merger, the approximately 0.68 million USARE LLC Class A common converted into approximately 0.14 million shares of Common Stock. Interest expense recognized through extinguishment from the discount on the Note for the three months ended March 31, 2025 and 2024 was approximately $54 thousand and $44 thousand, respectively. An additional $20 thousand and $25 thousand for the three months ended March 31, 2025 and 2024, respectively, was recognized as interest expense through the date of extinguishment for the stated interest on the Note. The effective interest rate of the Note was 44.875%.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MEZZANINE AND STOCKHOLDERS’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number of shares outstanding as of March 31, 2025 and the total number of shares of all classes of stock that USAR has authority to issue is follows (in thousands, except for par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of Stock</w:t>
            </w: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4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16"/>
        </w:trPr>
        <w:tc>
          <w:tcPr>
            <w:tcW w:w="7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0.0001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Preferred Stock</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0.0001</w:t>
            </w:r>
          </w:p>
        </w:tc>
        <w:tc>
          <w:tcPr>
            <w:tcW w:w="12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5,233</w:t>
            </w:r>
          </w:p>
        </w:tc>
      </w:tr>
      <w:tr>
        <w:trPr>
          <w:trHeight w:val="250"/>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authorized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Voting Rights. </w:t>
      </w:r>
      <w:r>
        <w:rPr>
          <w:rFonts w:ascii="Times New Roman" w:cs="Times New Roman" w:eastAsia="Times New Roman" w:hAnsi="Times New Roman"/>
          <w:sz w:val="18"/>
          <w:szCs w:val="18"/>
          <w:color w:val="auto"/>
        </w:rPr>
        <w:t>Each holder of record of Common Stock has one vote for each share of Common Stock that is outstanding and held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on which stockholders are entitled to vote generally.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payment of future dividends on the shares of Common Stock depends on the Company’s financial condition and is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of the Board.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Upon liquidation, the holders of Common Stock are entitled to receive the remaining assets of the Company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to its stockholders ratably in proportion to the number of shares held by them after payment of debts and other liabilities and subject to the rights of the holders of outstanding Preferred Stock.</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Lock-Up Arrangements</w:t>
      </w:r>
      <w:r>
        <w:rPr>
          <w:rFonts w:ascii="Times New Roman" w:cs="Times New Roman" w:eastAsia="Times New Roman" w:hAnsi="Times New Roman"/>
          <w:sz w:val="18"/>
          <w:szCs w:val="18"/>
          <w:color w:val="auto"/>
        </w:rPr>
        <w:t>. Pursuant to the Company’s bylaws, certain former members of USARE LLC, (excluding the former holders of the USARE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Convertible Preferred Units and the USARE LLC Class A Preferred Investor Warrants, solely with respect to securities received in exchange for such USARE LLC securities) (together with their permitted transferees, the “USARE Lock-Up Holders”), unless released by the Company’s board of directors, are not permitted, prior to six months after the Closing Date to sell or otherwise dispose of any shares of Common Stock that were issued to them in connection with the transactions contemplated by the Merger (“USAR Lock-Up Shares”) without the prior written consent of the Company’s board of directors. Additionally, the USARE Lock-Up Holders are not permitted to, prior to one year after the Closing Date, transfer more than 50% of their USAR Lock-Up Shares, without the prior written consent of the Company’s board of directors. Notwithstanding the foregoing, in connection with the Closing of the Merger, our board of directors released specified USARE Lock-Up Holders, generally the holders who were expected to own less than 0.2% of the Common Stock issued to all USARE Lock-Up Holders in the Merger, from the lock-up described above.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Lock-Up Agreement, dated March 13, 2025, by and between the Company and Inflection Point Holdings II LLC (the “Sponsor”) and its permitted assigns agreed not to, sell or otherwise dispose of 6.25 million shares of Common Stock (the “Sponsor Lock-Up Shares”) that were issued to the Sponsor in connection with the Merger Transactions in exchange for 6.25 million ordinary shares of IPXX issued to it prior to the Company’s initial public offering. Additionally, the Sponsor agreed that it would not, prior to one year after the Closing Date, transfer more than 50% of its Sponsor Lock-Up Shares, without the prior written consent of the Company’s board of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Company’s approximately 5.23 million issued and outstanding shares of Preferred Stock were designated as Series A Preferred Stock. The Company’s certificate of incorporation authorizes the Board to establish one or more series of Preferred Stock, which will be available for issuance without further action by the holders of Common Stock. 15.00 million shares of Preferred Stock have been designated as Series A Preferred Stock. Each share of Series A Preferred Stock has a stated value of $12.00 (the “Stated Value”).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A Preferred Stock accrues dividends daily at the rate of 12% per annum of the Stated Value (if paid in kind), plus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accrued dividends paid in kind, or 10% per annum of the Stated Value (if paid in cash), plus the amount of previously accrued dividends. Such dividends will compound semi-annually.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Upon any liquidation, the holders of Series A Preferred Stock will be entitled to receive out of the available proceeds (i) 100%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Stated Value per share of Preferred Stock plus accumulated dividends (“Accrued Value”) or (ii) an amount per share that would be payable had all shares of Series A Preferred Stock been converted into Common Stock immediately prior to the liquidation event. Thereafter, the holders of Series A Preferred Stock will be entitled to receive their pro-rata share, of the remaining available proceeds available for distribution to stockholders, on an as-converted to Common Stock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The Series A Preferred Stock will (i) vote together with the Common Stock as a single class, except as required by law and (ii)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protective provisions. Holders of Series A Preferred Stock shall be entitled to cast the number of votes equal to the number of whole shares of Common Stock into which the shares of Series A Preferred Stock held by such holder are convertible as of the record date for determining stockholders entitled to vote on such matters.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share of Series A Preferred Stock is convertible into Common Stock at any time at the option of the holder at a rate equal to the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divided by the then-applicable conversion price. The conversion price is initially $12.00, subject to adjustments for stock dividends, splits, combinations and similar events and customary anti-dilution adjustments, including with respect to future issuances or sales of Common Stock at prices less than $10.00 per share. In addition, if the 20-day volume-weighted average price of the Common Stock on the twenty-first trading day following the date that is six months after Closing Date is less than the conversion price then in effect, the conversion price will be adjusted to the greater of (i) such volume weighted average price and (ii) $7.50. On May 2, 2025, the conversion price was reduced to $7.00.</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Put Rights: </w:t>
      </w:r>
      <w:r>
        <w:rPr>
          <w:rFonts w:ascii="Times New Roman" w:cs="Times New Roman" w:eastAsia="Times New Roman" w:hAnsi="Times New Roman"/>
          <w:sz w:val="18"/>
          <w:szCs w:val="18"/>
          <w:color w:val="auto"/>
        </w:rPr>
        <w:t>Unless prohibited by applicable law governing distributions to stockholders, the Series A Preferred Stock is redeemable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commencing any time after the 5th anniversary of the Closing at a price equal to the Accrued Value.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Call Rights: </w:t>
      </w:r>
      <w:r>
        <w:rPr>
          <w:rFonts w:ascii="Times New Roman" w:cs="Times New Roman" w:eastAsia="Times New Roman" w:hAnsi="Times New Roman"/>
          <w:sz w:val="18"/>
          <w:szCs w:val="18"/>
          <w:color w:val="auto"/>
        </w:rPr>
        <w:t>Unless prohibited by applicable law governing distributions to stockholders, the Series A Preferred Stock shall be redeemable at the option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commencing any time (A) prior to the 1st anniversary of the Closing at a price equal to the 150% of the Accrued Value, (B) on or after the 1st anniversary but prior to the 2nd anniversary of the Closing at a price equal to the 140% of the Accrued Value, (C) on or after the 2nd anniversary of the Closing but prior to the 3rd anniversary of the Closing at a price equal to the 130% of the Accrued Value, (D) on or after the 3rd anniversary of the Closing but prior to the 4th anniversary of the Closing at a price equal to the 120% of the Accrued Value, (E) on or after the 4th anniversary of the Closing but prior to the 5th anniversary of the Closing at a price equal to the 110% of the Accrued Value, or (F) on or after the 5th anniversary of the Closing at a price equal to the 100% of the Accrued Value.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480-10-S99, the Company classified Series A Preferred Stock subject to redemption in mezzanine equity as the redemption provisions are not solely within the control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USAR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Company granted warrants to acquire approximately 23.78 million shares of Common Stock as follows (shares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16"/>
        </w:trPr>
        <w:tc>
          <w:tcPr>
            <w:tcW w:w="73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Issuable Upon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Sheet</w:t>
            </w:r>
          </w:p>
        </w:tc>
      </w:tr>
      <w:tr>
        <w:trPr>
          <w:trHeight w:val="245"/>
        </w:trPr>
        <w:tc>
          <w:tcPr>
            <w:tcW w:w="7320" w:type="dxa"/>
            <w:vAlign w:val="bottom"/>
          </w:tcPr>
          <w:p>
            <w:pPr>
              <w:spacing w:after="0"/>
              <w:rPr>
                <w:sz w:val="21"/>
                <w:szCs w:val="21"/>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11.50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11.50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9"/>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Investor Warrants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12.00</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Warrants</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23,779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Domestication, (a) each of the then issued and outstanding warrants to purchase Class A ordinary shares of IPXX automatically became a USAR Warrant exercisable for one share of Common Stock on the same terms as the pre-Domestication warrants; and (b) each unit of IPXX issued and outstanding as of immediately prior to the Domestication was automatically canceled and each holder received one share of Common Stock and one-half of one USAR Warrant exercisable for one share of Common Stock on the same terms as the pre-Domestication warrants, with any fractional USAR Warrants to be issued in connection with such separation rounded down to the nearest whole warrant.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USARE LLC Series A Investor Warrants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Merger transaction closing, the USARE LLC Class A Units Purchase Warrants automatically converted into Series A Investor Warrants of USAR. The USARE LLC Class A Units Purchase Warrants were previously classified as equity. As the legal form of the warrants changed as a result of the Merger, management reassessed the classification of the warrants.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Investor USAR Warrants provide for a Black-Scholes value calculation, as defined, in the event of certain transactions (“Fundamental Transactions,” as defined in the Series A Investor USAR Warrants), which includes a floor on volatility utilized in the Black Scholes value calculation at 100% or greater.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has classified the fair value of the Series A Investor USAR Warrants as a liability to be re-measured at the end of every reporting period with the change in value reported in the condensed consolidated statement of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USARE LLC warrants to acquire shares of USARE LLC Class A common units as of January 1, 2025, and changes during the three months ended March 31, 2025 (units in thousands):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USARE LLC Series A Investor Warrants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2025</w:t>
      </w:r>
    </w:p>
    <w:p>
      <w:pPr>
        <w:spacing w:after="0" w:line="31" w:lineRule="exact"/>
        <w:rPr>
          <w:sz w:val="20"/>
          <w:szCs w:val="20"/>
          <w:color w:val="auto"/>
        </w:rPr>
      </w:pPr>
    </w:p>
    <w:p>
      <w:pPr>
        <w:ind w:right="2920"/>
        <w:spacing w:after="0" w:line="253" w:lineRule="auto"/>
        <w:rPr>
          <w:sz w:val="20"/>
          <w:szCs w:val="20"/>
          <w:color w:val="auto"/>
        </w:rPr>
      </w:pPr>
      <w:r>
        <w:rPr>
          <w:rFonts w:ascii="Times New Roman" w:cs="Times New Roman" w:eastAsia="Times New Roman" w:hAnsi="Times New Roman"/>
          <w:sz w:val="18"/>
          <w:szCs w:val="18"/>
          <w:color w:val="auto"/>
        </w:rPr>
        <w:t>Issuance of warrants - additional Class A Preferred Conversion to Series A Preferred Investor Warrant</w:t>
      </w:r>
    </w:p>
    <w:p>
      <w:pPr>
        <w:spacing w:after="0"/>
        <w:rPr>
          <w:sz w:val="20"/>
          <w:szCs w:val="20"/>
          <w:color w:val="auto"/>
        </w:rPr>
      </w:pPr>
      <w:r>
        <w:rPr>
          <w:rFonts w:ascii="Times New Roman" w:cs="Times New Roman" w:eastAsia="Times New Roman" w:hAnsi="Times New Roman"/>
          <w:sz w:val="18"/>
          <w:szCs w:val="18"/>
          <w:b w:val="1"/>
          <w:bCs w:val="1"/>
          <w:color w:val="auto"/>
        </w:rPr>
        <w:t>Outstanding as of March 31, 2025</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8"/>
        </w:trPr>
        <w:tc>
          <w:tcPr>
            <w:tcW w:w="1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(5,279)</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1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-162560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-453390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00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200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USARE LLC Warrants to Acquire Class B Common Units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USARE LLC warrants to acquire USARE LLC Class B common units as of January 1, 2025, and changes during the three months ended March 31, 2025 (units and intrinsic value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USARE LLC Warrants to Acquire Class B Common Units</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Cashless exercise to class B Common Units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(8,315)</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USARE LLC Warrants to Acquire Class C Preferred Units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USARE LLC warrants to acquire USARE LLC Class C convertible preferred units as of January 1, 2024, and changes during the three months ended March 31, 2025 (units and intrinsic value in thousands):</w:t>
      </w:r>
    </w:p>
    <w:p>
      <w:pPr>
        <w:sectPr>
          <w:pgSz w:w="11900" w:h="16838" w:orient="portrait"/>
          <w:cols w:equalWidth="0" w:num="1">
            <w:col w:w="11240"/>
          </w:cols>
          <w:pgMar w:left="320" w:top="8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USARE LLC Warrants to Acquire Class C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Cashless exercise to Common B Units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as of March 31, 2025</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8"/>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0" w:type="dxa"/>
            <w:vAlign w:val="bottom"/>
          </w:tcPr>
          <w:p>
            <w:pPr>
              <w:spacing w:after="0"/>
              <w:rPr>
                <w:sz w:val="18"/>
                <w:szCs w:val="18"/>
                <w:color w:val="auto"/>
              </w:rPr>
            </w:pPr>
          </w:p>
        </w:tc>
      </w:tr>
    </w:tbl>
    <w:p>
      <w:pPr>
        <w:ind w:left="2180" w:hanging="1221"/>
        <w:spacing w:after="0"/>
        <w:tabs>
          <w:tab w:leader="none" w:pos="2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w:t>
      </w:r>
    </w:p>
    <w:p>
      <w:pPr>
        <w:spacing w:after="0" w:line="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(1,968)</w:t>
      </w:r>
    </w:p>
    <w:p>
      <w:pPr>
        <w:spacing w:after="0" w:line="58"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00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200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875" w:right="339" w:bottom="1440" w:gutter="0" w:footer="0" w:header="0"/>
          <w:type w:val="continuous"/>
        </w:sectPr>
      </w:pP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Closing of the Merger, the following USARE LLC warrants to acquire Class B common and Class C convertible preferred units of USARE LLC were converted into shares of Common Stock using the treasury method of accounting on a cashless exercise basis and an exchange conversion ratio of approximately 0.204 shares of Common Stock for a Class A unit of USARE LLC as follows (shares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Warrants</w:t>
            </w:r>
          </w:p>
        </w:tc>
        <w:tc>
          <w:tcPr>
            <w:tcW w:w="5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Class C Convertible Preferred Warrants</w:t>
            </w:r>
          </w:p>
        </w:tc>
        <w:tc>
          <w:tcPr>
            <w:tcW w:w="5820" w:type="dxa"/>
            <w:vAlign w:val="bottom"/>
            <w:tcBorders>
              <w:bottom w:val="single" w:sz="8" w:color="CCEEFF"/>
            </w:tcBorders>
            <w:gridSpan w:val="2"/>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jc w:val="right"/>
              <w:ind w:right="40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 12. EQUITY-BASED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equity award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Omnibus Incentive Plan (the “USAR Incentive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reserved 13.00 million shares of Common Stock for issuance pursuant to the USAR Incentive Plan, and the maximum number of shares that may be issued pursuant to the exercise of incentive stock options granted under the USAR Incentive Plan is 13.00 million, subject to certain adjustments. As of March 31, 2025, the Company has not granted any equity-based awards under the USAR Incentive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USARE LLC Incentive Plan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USARE LLC issued incentive units under the Amended and Restated Incentive Plan dated May 1, 2020 and the Second Amended and Restated Equity Incentive Plan dated August 26, 2022 and amended November 2, 2022 and February 10, 2024 (the “Legacy Incentive Plan”). The incentive units were intended to constitute “profit interests” within the meaning of the U.S. Internal Revenue Service (“IRS”) Revenue Procedures 93-27 and 2001-43 (or the corresponding requirements of any subsequent guidance promulgated by the IRS or other applicable law). The rights and preferences of the incentive units were defined in the respective incentive unit agreements. The Company did not forfeit or grant any new incentive units under the Legacy Incentive Plan as of the closing date of the merger and during the three months ended March 31, 2025. In addition, no new grants will be awarded under this plan.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USARE LLC utilized an independent valuation company to estimate the fair value of the underlying equity units into which the incentive units granted under the Legacy Incentive Plan would be converted. During the year ended December 31, 2024, the Company then used this valuation in a Black-Scholes pricing model to determine the fair value of the incentive units granted. Black-Scholes pricing method is considered to be a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fair value measurement requiring highly judgmental assumptions including expected volatility. The expected volatility was estimated by taking the average historical price volatility for industry peers, consisting of several public companies in its industry which are either similar in size, stage of life cycle, or financial leverage, over a period equivalent to the expected term of the awards. USARE LLC recognized the associated costs across the vesting period using the straight-line method. All outstanding and unvested incentive units under the USARE LLC Incentive Plan vested upon the Closing of the Merger as of March 13, 2025 and unrecognized equity-based compensation expense of incentive units vested on that date of $0.2 million was recognized.</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incentive units as of March 31, 2025, and changes during the three months ended March 31, 2025 (units and intrinsic value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82"/>
        </w:trPr>
        <w:tc>
          <w:tcPr>
            <w:tcW w:w="732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320" w:type="dxa"/>
            <w:vAlign w:val="bottom"/>
            <w:gridSpan w:val="3"/>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4"/>
              </w:rPr>
              <w:t>Threshold</w:t>
            </w:r>
            <w:r>
              <w:rPr>
                <w:rFonts w:ascii="Times New Roman" w:cs="Times New Roman" w:eastAsia="Times New Roman" w:hAnsi="Times New Roman"/>
                <w:sz w:val="29"/>
                <w:szCs w:val="29"/>
                <w:b w:val="1"/>
                <w:bCs w:val="1"/>
                <w:color w:val="auto"/>
                <w:w w:val="94"/>
                <w:vertAlign w:val="superscript"/>
              </w:rPr>
              <w:t>(1)</w:t>
            </w:r>
          </w:p>
        </w:tc>
        <w:tc>
          <w:tcPr>
            <w:tcW w:w="160" w:type="dxa"/>
            <w:vAlign w:val="bottom"/>
          </w:tcPr>
          <w:p>
            <w:pPr>
              <w:spacing w:after="0"/>
              <w:rPr>
                <w:sz w:val="24"/>
                <w:szCs w:val="24"/>
                <w:color w:val="auto"/>
              </w:rPr>
            </w:pPr>
          </w:p>
        </w:tc>
        <w:tc>
          <w:tcPr>
            <w:tcW w:w="1060" w:type="dxa"/>
            <w:vAlign w:val="bottom"/>
            <w:gridSpan w:val="2"/>
          </w:tcPr>
          <w:p>
            <w:pPr>
              <w:jc w:val="right"/>
              <w:ind w:right="360"/>
              <w:spacing w:after="0" w:line="276" w:lineRule="exact"/>
              <w:rPr>
                <w:sz w:val="20"/>
                <w:szCs w:val="20"/>
                <w:color w:val="auto"/>
              </w:rPr>
            </w:pP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29"/>
                <w:szCs w:val="29"/>
                <w:b w:val="1"/>
                <w:bCs w:val="1"/>
                <w:color w:val="auto"/>
                <w:vertAlign w:val="superscript"/>
              </w:rPr>
              <w:t>(2)</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0.97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to USARE LLC Class A units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(39,185)</w:t>
            </w:r>
          </w:p>
        </w:tc>
        <w:tc>
          <w:tcPr>
            <w:tcW w:w="140" w:type="dxa"/>
            <w:vAlign w:val="bottom"/>
          </w:tcPr>
          <w:p>
            <w:pPr>
              <w:spacing w:after="0"/>
              <w:rPr>
                <w:sz w:val="20"/>
                <w:szCs w:val="20"/>
                <w:color w:val="auto"/>
              </w:rPr>
            </w:pP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0.97</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distribution threshold amount refers to the value that would need to be exceeded before the holder would receive any consideration upon a liquidation event.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intrinsic value is calculated based upon the fair value of the incentive units as of the reported date.</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Conversion of Incentive Units – </w:t>
      </w:r>
      <w:r>
        <w:rPr>
          <w:rFonts w:ascii="Times New Roman" w:cs="Times New Roman" w:eastAsia="Times New Roman" w:hAnsi="Times New Roman"/>
          <w:sz w:val="18"/>
          <w:szCs w:val="18"/>
          <w:color w:val="auto"/>
        </w:rPr>
        <w:t>Upon Closing of the Merger, all outstanding incentive units were considered fully vested and converted into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4.55 million shares of Common Stock using the treasury method of accounting on a cashless exercise basis and an exchange conversion ratio of approximately 0.204 shares of Common Stock for a share of common stock of USARE LLC.</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Vesting Period of Incentive Units – </w:t>
      </w:r>
      <w:r>
        <w:rPr>
          <w:rFonts w:ascii="Times New Roman" w:cs="Times New Roman" w:eastAsia="Times New Roman" w:hAnsi="Times New Roman"/>
          <w:sz w:val="18"/>
          <w:szCs w:val="18"/>
          <w:color w:val="auto"/>
        </w:rPr>
        <w:t>USARE LLC utilized different vesting periods, generally ranging from one year to three years, depending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specifics of the grant. In case of change in control, unless otherwise expressly provided in the participant’s award agreement, the units would become 100% vested and any restrictions and limitations applicable to the participant’s incentive units would lapse and such incentive units would become fully transferable.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Unit and Class A Common Compensation Expense - </w:t>
      </w:r>
      <w:r>
        <w:rPr>
          <w:rFonts w:ascii="Times New Roman" w:cs="Times New Roman" w:eastAsia="Times New Roman" w:hAnsi="Times New Roman"/>
          <w:sz w:val="18"/>
          <w:szCs w:val="18"/>
          <w:color w:val="auto"/>
        </w:rPr>
        <w:t>The following table summarizes compensation expense related to the Company’s equity-based compensation (in thousands):</w:t>
      </w:r>
    </w:p>
    <w:p>
      <w:pPr>
        <w:spacing w:after="0" w:line="15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units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A units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USARE LLC recorded equity-based compensation for issuance of its Class A units to certain consultants immediately prior to the closing of the merger pursuant to existing bonus agreements. In the three months ended March 31, 2024, USARE LLC recorded equity-based compensation for the issuance of Class A units as part of the USARE LLC former CEO’s employment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GOVERNMENT GRANTS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government grants for the purchase or construction of long-lived assets. The Company presents grants received related to long-lived assets as a non-current deferred grants liability on the condensed consolidated balance sheets and recognizes revenue through profit or loss over the useful life of the underlying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Incremental Financing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2022, the Company executed a Tax Increment Financing Agreement (the “TIF Agreement”) with the Stillwater Economic Development Authority (the “Authority”), a public trust having as its beneficiary the City of Stillwater, Oklahoma (the “City”), whereby the Authority will provide upfront development financing assistance to the Company of up to $7.0 million for the development of the Stillwater Facility (the “Upfront Assistance”). Additionally, entry into the TIF Agreement made USARE LLC eligible to receive a manufacturing and research and development ad valorem tax exemption for a period of five years and thereafter requires the Authority to disburse to the Company 90% of the incremental ad valorem taxes generated by the ad valorem taxes assessed against the Stillwater Facility and paid by the Company. Under the terms of the TIF agreement, among other things, the Company is required to complete the Stillwater Facility and in doing so to make an investment of approximately $140 million and to employ a specified number of employees at specified levels of median compensation at various stages of the development. Subject to agreed extensions, USARE LLC is also required to commence certain phases of the development of the Stillwater Facility by no later than March 31, 2026 and complete that advanced development by no later than June 30, 2027. Should the Company default on its obligations under the Stillwater Redevelopment Agreement, the Authority may terminate the agreement and make demand for immediate repayment in full of the Upfront Assistance.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the Company recorded $7.0 million of deferred grant income related to cash received to date as part of the TIF Agreement, all of which is noncurrent as a component of Deferred grants. The Company has not recognize any of the deferred grant income amounts in profit or loss related to the TIF Agreement as the associated long-lived asset has not yet been placed into service. The Company filed the Ad Valorem Tax Exemption application for the year ending December 31, 2023, in March of 2023. Approval was received November 14, 2023 from the Stillwater Economic Development Authority for the Five-Year Ad Valorem Tax Exemption. As such, the Company has not incurred any real and personal ad valorem taxes to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Governor’s Fund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2022, the Company entered into an agreement with the Oklahoma Department of Commerce to receive a $1.2 million award to be used for the renovation of an existing building at the Stillwater Facility (the “Governor’s Fund Agreement”), to be paid in $0.6 million increments when the Company had cumulatively spent $1.0 million and $2.0 million by March 31, 2023 and May 31, 2023, respectively, in qualifying costs related to developing the Stillwater Facility. Per the terms of the Governor’s Fund Agreement, the award is subject to repayment if the Company does not comply with certain investment requirements and employee headcount and compensation standards.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incurred qualifying costs that exceeded the cumulative $2.0 million threshold specified in the contract. The total award of $1.2 million was requested and received by the Company on April 6, 2023 and was recorded as deferred grant income at the time, which will be recognized over the useful life of the related assets once placed in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the Company was accepted for the Oklahoma Quality Jobs Program (“Jobs Program”), an incentive that provides qualifying companies quarterly cash rebates of up to 5% of the wages paid for new direct jobs created by the Company for a period of up to 10 years, with a maximum payout of approximately $2.8 million, subject to the Company fulfilling certain obligations pursuant to an agreement between USA Rare Earth Magnets, LLC and the State of Oklahoma, dated December 19, 2022 (the “Jobs Program Agreement”), including that the Company must meet or exceed applicable payroll and employee headcount requirements and that the Company maintain operations in Oklahoma for a specified period. To date USARE LLC has not become eligible to make any claims under the Jobs Program; the terms of the Jobs Program Agreement require that the first claim be made on or prior to January 1, 2026. The Company has not yet recognized any reductions in payroll expense related to the Jobs Program as a claim is not yet eligible to be filed.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jurisdictions. The Company’s effective tax rate of zero percent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difference between the effective tax rate of zero percent and the U.S. federal statutory rate of 21.0% for the three months ended March 31, 2025 and 2024 was due to changes in the valuation allowance, which entirely offsets the Company’s net deferred tax assets. As of March 31, 2025 and 2024, the Company determined that, based on an evaluation of the Company’s history of net losses and all available evidence, both positive and negative, including the Company’s latest forecasts and cumulative losses in recent years, it was more likely than not that none or substantially none of the Company’s deferred tax assets would be realized and, therefore, the Company continued to record a valuation allowance.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NOTE 15. NET INCOME (LOSS)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numerator and denominator for the net income (loss) per share attributable to holders of common stock for the three months ended March 31, 2025 and 2024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51,832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Declared dividends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(3,083)</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Undeclared cumulative dividends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Undistributed net income (loss) attributable to common stockholders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48,270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64,463</w:t>
            </w:r>
          </w:p>
        </w:tc>
        <w:tc>
          <w:tcPr>
            <w:tcW w:w="32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59,425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64,463</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59,425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Preferred shares</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13,774</w:t>
            </w:r>
          </w:p>
        </w:tc>
        <w:tc>
          <w:tcPr>
            <w:tcW w:w="3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Incentive units outstanding prior to conversion to Common Stock at Merger</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3,642</w:t>
            </w:r>
          </w:p>
        </w:tc>
        <w:tc>
          <w:tcPr>
            <w:tcW w:w="3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6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Warrants outstanding prior to conversion to Common Stock at Merger</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83,079</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59,425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(0.11</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0.58</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converted method</w:t>
      </w:r>
    </w:p>
    <w:p>
      <w:pPr>
        <w:ind w:left="340" w:hanging="332"/>
        <w:spacing w:after="0" w:line="180" w:lineRule="auto"/>
        <w:tabs>
          <w:tab w:leader="none" w:pos="34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Treasury stock method</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the Company has warrants to acquire approximately 23.78 million shares of Common Stock that are excluded from the computation of diluted net income per share as their effect would be anti-dilutive. Additionally, the Company has 10.1 million potentially dilutive contingently issuable earn-out shares that are excluded from the computation of diluted net income because the necessary conditions have not been satisfied as of March 31, 2025. As of March 31, 2024, potentially dilutive incentive units of approximately 8.00 million and warrants to purchase approximately 1.70 million Class B units were excluded from the computation of the diluted net loss per share as their effect would have been anti-dilutive due to the Company’s net loss during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reportable operating segment; that segment being the vertically integrated, domestic rare earth element magnet production supply chain. The Company’s chief operating decision makers review financial information on an aggregate basis for evaluating financial performance. Through December 16, 2024, the Company’s Board of Managers were the chief operating decision makers. As of December 17, 2024, the Company’s chief operating decision maker is its chief executive officer.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OF USAR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USA Rare Earth, Inc. (“USAR”), is a company with the mission to establish a vertically integrated, domestic rare earth magnet supply chain that supports the future state of energy, mobility, and national security in the United States (“U.S.”). We are developing the Stillwater Facility and, via our Round Top Project, intend to establish domestic rare earth and critical minerals supply, extraction, and processing capabilities to both supply our magnet manufacturing plant and market surplus materials to third parties. Rare earth magnets are critical to various business sectors and industries, including the defense, automotive, aviation, AI robotics, industrial, medical and consumer electronics industries, among others. Our vertically integrated approach — from sourcing REE’s, in addition to other critical minerals such as gallium, to producing finished NdFeB magnets — assists in strengthening the U.S.’s control over critical supply chains such as the supply of rare earth minerals and magnets and thus reduce domestic reliance on foreign, particularly Chinese, imports. We believe our focus on developing domestic rare earth production aligns with national priorities, offering the future potential of a sustainable and secure domestic supply of materials critical to key industries. We have been in the exploration and research stages since our formation and have not yet realized any revenues from its planned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Model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acquired the land and other assets comprised of a facility at Stillwater, Oklahoma (“Stillwater Facility”) to develop it into a magnet production facility and we are in the process of completing our magnet production capabilities at the Stillwater Facility necessary for the initial production of NdFeB magnets.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control certain mining rights to Round Top Mountain, which is an above-ground mineral deposit near Sierra Blanca, Texas that contains the Round Top Deposit, the mining and extraction of which comprises our Round Top Project. We have not yet begun to extract any minerals from the Round Top Deposit. The development of the Round Top Project involves a high degree of financial risk and uncertainty.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yet commenced production in connection with either our Round Top Project or our Stillwater Facility and, consequently, we do not currently have any operating income or cash flows. Accordingly, we do not currently generate, nor have we realized to date, any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facilities are comprised of the Stillwater, Oklahoma facility, the Wheat Ridge, Colorado facility and the Round Top Mountain Project, in Sierra Blanca,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 Pre-Funded PIPE Warrant; PIPE Warrant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and further described in our Current Report on Form 8-K filed on May 5, 2025, we entered into an amended and restated securities purchase agreement, dated as of April 29, 2025 (the “Purchase Agreement”), with a purchaser (the “Purchaser”) for the private placement (the “Private Placement”) of (i) 8.55 million shares of the Company’s common stock, par value $0.0001 per share (the “PIPE Shares”), (ii) a pre-funded warrant (the “Pre-Funded PIPE Warrant”) to purchase an aggregate of 2.16 million shares of Common Stock (the “Pre-Funded PIPE Warrant Shares”) and (iii) a warrant (the “PIPE Warrant”) to purchase an aggregate of 10.71 million shares of Common Stock (the “PIPE Warrant Shares,” and together with the Shares, the Pre-Funded PIPE Warrant, the Pre-Funded PIPE Warrant Shares and the PIPE Warrant, the “Securities”), at an exercise price of $7.00 per share, for aggregate gross proceeds of $75.00 million. On May 2, 2025, the Company closed the Private Placement and issued the Securities. The Company intends to use the net proceeds from the Private Placement for working capital and general corporate purposes.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and Related Transactions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formerly known as Inflection Point Acquisition Corp. II (“IPXX”), which was a special purpose acquisition company incorporated as a Cayman Islands exempted corporation on March 6, 2023. We were incorporated for the purpose of effecting a merger, share exchange, asset acquisition, share purchase, reorganization or similar business combination with one or more businesses. Shares of USAR common stock (“Common Stock”) and USAR warrants (“Warrants”) began trading on the Nasdaq Stock Market LLC (“Nasdaq”) under the symbols “USAR” and “USARW”, respectively, on March 14,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13, 2025, we consummated the previously announced Business Combination and other related transactions (the “Merger”) as further described in Note 1, “Organization” and Note 3, “Merger Transaction” to our condensed consolidated financial statements included in Item 1 of Part I of this Quarterly Report on Form 10-Q. The Merger was accounted for as a reverse recapitalization, with no goodwill or other intangible assets recorded, in accordance with U.S. Generally Accepted Accounting Principles (“U.S. GAAP”). The Merger and other related transactions had several significant impacts on our reported financial position and results, due to the reverse recapitalization treatment.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Forward Purchase Agreements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11, 2025, IPXX entered into FPA with three separate investors (“Sellers”) pursuant to which the investors agreed to hold up to a total of approximately 1.89 million publicly held Class A ordinary shares of IPXX (“Public Shares”) in connection with the Closing of the Merger. Each FPA amended, restated and superseded in its entirety a separate FPA with each of the Sellers, dated March 10, 2025, which had identical terms to those described herein, except that the Reset Price (as defined in the FPAs) was not subject to the floor price described below. For purposes of the FPAs, the Public Shares held by each Seller are referred to as such Seller’s “Maximum Shares.” The aggregate number of Public Shares subject to each FPA (the “FPA Shares”) was the aggregate number of Public Shares as notified to the Company by the applicable Seller, but in no event more than such Seller’s Maximum Shares set forth above. Each Seller notified the Company that it would subject the Maximum Shares to their respective FPAs. The FPA Shares are subject to reduction following the full or partial optional early termination of the FPAs as described below.</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FPA provided that in connection with Closing, the Company would pay to the Seller under such FPA, out of the funds held in IPXX’s trust account, an amount (the “Prepayment Amount”) equal to the product of (i) the FPA Shares and (ii) an amount (the “Initial Price”) equal to the redemption price per share payable to investors who elected to redeem in connection with the Merger Transactions, which Initial Price was approximately $11.00. The Company prepaid approximately $20.8 million to the trust account at the closing of the Merger to secure its purchase obligation to repurchase for any outstanding FPA Shares at the Initial Price per share of $11.00 on the date that is 90 days after the closing of the merger (the “Maturity Date”). On any day the Nasdaq is open for trading following the Closing of the Merger through the Maturity Date, the Sellers may sell any, or all, of their FPA Shares (the “Terminated Shares”). For any Terminated Shares, the Seller must remit the Initial Price to the Company but retains any profit over that price. At the Maturity Date, the Company is obligated to purchase any outstanding FPA Shares at a price per share equal to the Initial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Convertible Preferred Investment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21, 2024, in connection with the signing of the Business Combination Agreement, we completed the pre-funded private investment in public equity (“PIPE”) financing pursuant to which USARE LLC and certain accredited investors entered into the Class A Convertible Preferred SPAs, for 2.50 million USARE LLC Class A Convertible Preferred Units and USARE LLC Class A Preferred Investor Warrants exercisable for an aggregate of approximately 2.97 million USARE LLC Class A Units, for an aggregate purchase price of approximately $25.5 million. In addition, USARE LLC issued approximately 0.12 million USARE LLC Class A-2 Convertible Preferred Units and a USARE LLC Class A Preferred Investor Warrant to purchase up to approximately 0.03 million USARE LLC Class A Units in exchange for Mr. Micheal Blitzer’s promise to forgive, at Closing, 50% of the then-outstanding balance of a convertible promissory note.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IPXX and certain accredited investors including Mr. Blitzer, and Collective Capital Management entered into Securities Purchase Agreements on January 31, 2025 to purchase (i) USARE LLC Class A-2 Convertible Preferred Units and (ii) USARE LLC Class A Investor Warrants for an aggregate purchase price of approximately $15.3 million which closed on February 3,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2025, IPXX entered into a securities purchase agreement for Series A Preferred Stock and Series A Preferred Investor Warrants for total gross proceeds of $8.0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Company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Merger, USA Rare Earth, Inc. is an SEC-reporting and NASDAQ-listed company, which require us to hire additional staff and implement procedures and processes to address public company regulatory requirements and customary practices both before and after the consummation of the Merger. We expect to incur significant additional annual expenses for, among other things, directors’ and officers’ liability insurance, director fees and additional internal and external accounting, legal and administrative resources and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 operating revenues. We are dependent on equity or other external financings to fund our pursuit and development of our consolidated business plans (including magnet production at our Stillwater Facility), to fund our mineral exploration and evaluation operations, our evaluation and intended development of the Round Top Project (collectively, our “R&amp;D” costs), selling, general and administrative (“SG&amp;A”) costs, interest expense and other costs. As a result, we expect to incur operating losses until such time as either: (i) the Stillwater Facility is fully completed and operational to the extent that it generates net profits, or (ii) an economic mineral resource is identified, developed and put into profitable commercial production at the Round Top Project.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components of our results of operations for the periods presented. The period-to-period comparison of financial results is not necessarily indicative of future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Comparison of three months ended March 31,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results for the periods indicated, and the changes between periods (in thousands, except for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r>
      <w:tr>
        <w:trPr>
          <w:trHeight w:val="23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1,689</w:t>
            </w:r>
          </w:p>
        </w:tc>
        <w:tc>
          <w:tcPr>
            <w:tcW w:w="32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2,051</w:t>
            </w:r>
          </w:p>
        </w:tc>
        <w:tc>
          <w:tcPr>
            <w:tcW w:w="3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r>
        <w:trPr>
          <w:trHeight w:val="203"/>
        </w:trPr>
        <w:tc>
          <w:tcPr>
            <w:tcW w:w="59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(8,718)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(4,698)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(4,020)</w:t>
            </w:r>
          </w:p>
        </w:tc>
        <w:tc>
          <w:tcPr>
            <w:tcW w:w="2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fair market value of financial instruments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60,299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9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51,682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(4,672)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56,354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51,832</w:t>
            </w: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56,304</w:t>
            </w:r>
          </w:p>
        </w:tc>
        <w:tc>
          <w:tcPr>
            <w:tcW w:w="2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w:t>
      </w:r>
      <w:r>
        <w:rPr>
          <w:rFonts w:ascii="Times New Roman" w:cs="Times New Roman" w:eastAsia="Times New Roman" w:hAnsi="Times New Roman"/>
          <w:sz w:val="18"/>
          <w:szCs w:val="18"/>
          <w:color w:val="auto"/>
        </w:rPr>
        <w:t>The increase in SG&amp;A expenses was primarily due to a $3.7 million increase in financial consulting,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professional fees and an increase of $0.9 million equity-based compensation expense associated with the Merger, partially offset by lower payroll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(“R&amp;D”). </w:t>
      </w:r>
      <w:r>
        <w:rPr>
          <w:rFonts w:ascii="Times New Roman" w:cs="Times New Roman" w:eastAsia="Times New Roman" w:hAnsi="Times New Roman"/>
          <w:sz w:val="18"/>
          <w:szCs w:val="18"/>
          <w:color w:val="auto"/>
        </w:rPr>
        <w:t>The decrease in R&amp;D was primarily due to lower consulting fees related to feasibility studies.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and dividend income. </w:t>
      </w:r>
      <w:r>
        <w:rPr>
          <w:rFonts w:ascii="Times New Roman" w:cs="Times New Roman" w:eastAsia="Times New Roman" w:hAnsi="Times New Roman"/>
          <w:sz w:val="18"/>
          <w:szCs w:val="18"/>
          <w:color w:val="auto"/>
        </w:rPr>
        <w:t>The increase in interest and dividend income was primarily due to higher balances in our money market funds.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fair market value of financial instruments. </w:t>
      </w:r>
      <w:r>
        <w:rPr>
          <w:rFonts w:ascii="Times New Roman" w:cs="Times New Roman" w:eastAsia="Times New Roman" w:hAnsi="Times New Roman"/>
          <w:sz w:val="18"/>
          <w:szCs w:val="18"/>
          <w:color w:val="auto"/>
        </w:rPr>
        <w:t>The gain on fair market value of financial instruments in the first quarter of 2025 relates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remeasurement of our earnout liability of $53.4 million, warrant liability of $6.2 million and derivative liability of $0.7 million.</w:t>
      </w:r>
    </w:p>
    <w:p>
      <w:pPr>
        <w:spacing w:after="0" w:line="158"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i w:val="1"/>
          <w:iCs w:val="1"/>
          <w:color w:val="auto"/>
        </w:rPr>
        <w:t>Interest and other expense.</w:t>
      </w:r>
      <w:r>
        <w:rPr>
          <w:sz w:val="20"/>
          <w:szCs w:val="20"/>
          <w:color w:val="auto"/>
        </w:rPr>
        <w:tab/>
      </w:r>
      <w:r>
        <w:rPr>
          <w:rFonts w:ascii="Times New Roman" w:cs="Times New Roman" w:eastAsia="Times New Roman" w:hAnsi="Times New Roman"/>
          <w:sz w:val="17"/>
          <w:szCs w:val="17"/>
          <w:color w:val="auto"/>
        </w:rPr>
        <w:t>Our interest expense was consistent in the three months ended March 31, 2025 compared to the same period in the prior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Liquidity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contemplating the continuation of the Company as a going concern and the continuity of operations, realization of assets, and liquidation of liabilities in the normal course of business. Management is aware, in making its assessment, of material uncertainties related to events or conditions that may cast significant doubt upon our ability to continue as a going concern. While our management believes in the viability of its strategy to generate future revenues, control costs and the ability to raise additional funds, our strategy may not be successful. Our condensed consolidated financial statements do not include any adjustments that might be necessary were we unable to continue as a going concern. If the going concern basis was not appropriate for the condensed consolidated financial statements, then adjustments would be necessary to the carrying value of assets and liabilities, the reported revenues and expenses, and the statement of financial position classifications used.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generated no revenues since inception, continue to incur losses from operations, and have an accumulated deficit. Our ability to continue as a going concern is dependent upon our ability to raise capital, to implement our business plan, generate sufficient revenues, and to control operating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2025, we had net income of $51.7 million, which included a non-cash fair value gain on financial instruments of $60.3 million. For the quarter ended March 31, 2025, we used $10.3 million cash in operating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March 31, 2025, we received additional cash proceeds of $11.5 million in connection with early terminations of the Forward Purchase Agreements (“FPA”) from the Sellers. In addition, on May 5, 2025, we announced the closing of PIPE financing for $75 million with a single institutional investor.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as of March 31, 2025 we had cash on our balance sheet of $23.4 million and have subsequently raised additional proceeds from the exercises of the FPA and financing from the PIPE, we will need to raise additional capital to implement our strategic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need to raise additional capital, as well as milestones required for our current strategic plan to generate sustainable commercial revenues, there is substantial doubt regarding our ability to continue as a going concern for the twelve months following the issuance of these condensed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cash equivalents to be highly liquid investments purchased with original maturities of three months or less. As of March 31, 2025, we had $23.4 million in cash and 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we recognized Interest and dividend income of approximately $0.2 million.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r>
      <w:tr>
        <w:trPr>
          <w:trHeight w:val="239"/>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(in thousands)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(6,096)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19,969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management’s discussion of cash flows for the three months ended March 31, 2025 to the three months ended March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$6.1 million increase in net cash used in operating activities was primarily due to an increase of $3.1 million net loss adjusted for non-cash related expenses and an increase in cash used for prepaid insurance as well as accounts payable and accrued liabilities, net related to payments for professional services partially offset by lower cash expenditures on payroll-related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additional investments made for property plant and equipment as we execute our strategic business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financing activities is primarily due to net financing activities and contributions from the Merger. See Note 3, “Merger Transaction” of the notes to the condensed consolidated financial statements in Part I, Item 1 of this Form 10-Q, for further discussion of amounts received from financing activities and Merger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Hatch Senior Convertible Promissory Note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28, 2023, USA Rare Earth, LLC and Hatch LTD entered into an unsecured $1.0 million Senior Convertible Promissory Note agreement (the “Hatch Note”) with a 10% interest rate with a maturity date of July 28, 2025. The interest was to be payable at maturity. See Note 10, “Note Payable” to our condensed consolidated financial statements in Part I, Item 1 of this Form 10-Q for additional information related to the Hatch Note. The Hatch Note was converted at Closing into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otherwise described in this Form 10-Q,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 Associated with Future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two industries that are both subject to intense competition, development risk, and changes in U.S. governmental policies related to green energy, defense spending and dependence on foreign suppliers. Our operations are subject to significant risks and uncertainties including financial and operational risks, as well as the potential risk of business failure.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magnet technology industry is still in its infancy in the United States, and thus the technology, processes, and capabilities are still being developed. The magnet facility requires substantial capital commitment to complete and there may be unanticipated costs or delays associated with the construction. The Company’s plans for producing magnets are based on certain estimates and assumptions we have made about our business over the next few years, including the ability to obtain the equipment and materials needed to produce magnets on a timely basis from third party vendors. Due to rapidly rising demand, there is also a risk that substitute products will become available and reduce the need for our type of high-performance magnet.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yet established that the Round Top Deposit contains any commercially exploitable quantities of proven and probable mineral reserves, and we may not be able to do so. Even if the Company does eventually establish commercially exploitable quantities of mineral reserves, the Round Top Deposit may not be developed into a producing mine and the Company may not be able to extract those minerals economically. Both mineral exploration and development involve a high degree of risk, and few properties that are explored are ultimately developed into producing mines. The commercial viability of an established mineral deposit will depend on several factors including the size, grade, and other attributes of the mineral deposit, as well as proximity of the deposit to infrastructure, government regulation, and market prices, among other things. Most of these factors will be beyond the Company’s control, and any of them could increase costs and make extraction of any identified mineral deposit unprofitable.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Fair Value, Long-Lived Assets and Equity-based Compensation the most critical accounting policies to aid in fully understanding and evaluating our consolidated financial condition and results of our operations. We also consider our Going Concern assessment to be subject to critical accounting estimates.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condensed consolidated financial statements included in Part I, Item 1 of this Form 10-Q for a description of our critical and other significant accounting policies. See Note 1, “Organization” of the notes to our condensed consolidated financial statements included in Part I, Item 1 of this Form 10-Q for a discussion of our going concern assessment.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condensed consolidated financial statements included in Part I, Item 1 of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retain our emerging growth company status until the earliest of:</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our annual revenues exceed $1.2 billion;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fifth anniversary of our public company registration has occurred;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three-year period;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qualify as a large accelerated filer.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under Regulation S-K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under Rules 13a-15(e) and 15d-15(e) of the Exchange Act. Our disclosure controls and procedures have been designed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provide reasonable assurance that information required to be disclosed in reports filed or submitted under the Exchange Act is accumulated and communicated to our management, including our Chief Executive Officer (“CEO”) and Chief Financial Officer (“CFO”), as appropriate, to allow timely decisions regarding required disclosure.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Exchange Act Rule 13a-15(e) as of March 31, 2025. Based on that evaluation, our CEO and CFO concluded that our disclosure controls and procedures were effective at the reasonable assurance level as of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2025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our controls and procedures will detect all errors or fraud. A control system, no matter how well conceived and operated, can provide only reasonable, not absolute, assurance that objectives of the control system will be attained.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in Note 8. Commitments and Contingencies—Legal Proceedings of the notes to the unaudited consolidated financial statements contained in this quarterly report and is incorporated by reference into this Item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report include the risk factors described in our 2024 Annual Report on Form 10-K. As of the date of this Quarterly Report on 10-Q, there have been no material changes to the risk factors disclosed in our 2024 Annual Report on Form 10-K except as described in the below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by the United States, counter-tariffs by other countries and future changes in tariff policies could adversely affect our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has imposed, and could impose in the future, broad-ranging tariffs on imports from some of its largest trading partners. In retaliation, many countries have imposed, and could impose in the future, counter-tariffs on U.S.-produced items. Tariffs have spurred, and could continue to spur, additional retaliatory moves by affected countries, including by China and the European Union member states.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Tariffs present both positive and negative impacts across our business, but, in the aggregate, based on limited information to date, which may change, we expect that they may produce a net positive impact in light of our U.S. focused manufacturing strategy. However, we also face material risks with respect to tariff policies and the uncertainties and potential changes in such policies. For example, if tariffs are modified or changed in the future or our preliminary information is incorrect, our consolidated results of operations could be materially negatively impacted. In addition, for purposes of our operations, we seek to acquire various materials, supplies and components imported into the U.S., including certain equipment utilized in metal-making, magnet making, and magnet finishing and as a result, we have been adversely impacted by the imposition of trade restrictions on such goods. We may also be adversely impacted if tariffs significantly hurt the economic outlook and negatively impact consumer demand and our ability to raise capital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8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Merger of IPXX Merger Sub, LLC with and into USA Rare Earth, LLC (incorporated herein by reference to Exhibit 2.4 filed</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4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with the Current Report on Form 8-K (Reg. No. 001-41711) filed by the registrant on March 19, 2025).</w:t>
              </w:r>
            </w:hyperlink>
          </w:p>
        </w:tc>
        <w:tc>
          <w:tcPr>
            <w:tcW w:w="2660" w:type="dxa"/>
            <w:vAlign w:val="bottom"/>
            <w:tcBorders>
              <w:bottom w:val="single" w:sz="8" w:color="CCEEFF"/>
              <w:right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Plan of Domestication (incorporated herein by reference to Exhibit 2.5 filed with the Current Report on Form 8-K (Reg. No. 001-41711)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filed by the registrant on March 19,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Certificate of Corporate Domestication of USA Rare Earth, Inc (incorporated herein by reference to Exhibit 3.1 filed with the Current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Report on Form 8-K (Reg. No. 001-41711) filed by the registrant on March 19, 2025).</w:t>
              </w:r>
            </w:hyperlink>
          </w:p>
        </w:tc>
        <w:tc>
          <w:tcPr>
            <w:tcW w:w="3880" w:type="dxa"/>
            <w:vAlign w:val="bottom"/>
            <w:tcBorders>
              <w:bottom w:val="single" w:sz="8" w:color="CCEEFF"/>
              <w:right w:val="single" w:sz="8" w:color="CCEEFF"/>
            </w:tcBorders>
            <w:gridSpan w:val="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Certificate of Incorporation of USA Rare Earth, Inc. (incorporated herein by reference to Exhibit 3.2 filed with the Current Report on Form</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8-K (Reg. No. 001-41711) filed by the registrant on March 19,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Bylaws of USA Rare Earth, Inc. (incorporated herein by reference to Exhibit 3.3 filed with the Current Report on Form 8-K (Reg. No. 001-</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41711) filed by the registrant on March 19, 2025).</w:t>
              </w:r>
            </w:hyperlink>
          </w:p>
        </w:tc>
        <w:tc>
          <w:tcPr>
            <w:tcW w:w="6480" w:type="dxa"/>
            <w:vAlign w:val="bottom"/>
            <w:tcBorders>
              <w:bottom w:val="single" w:sz="8" w:color="CCEEFF"/>
              <w:right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USA Rare Earth, Inc. Certificate of Designation of Preferences, Rights and Limitations of 12.0% Series A Cumulative Convertible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Preferred Stock (incorporated herein by reference to Exhibit 3.4 filed with the Current Report on Form 8-K (Reg. No. 001-41711) filed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the registrant on March 19,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Certificate of Amendment, dated May 1, 2025, to USA Rare Earth, Inc. Certificate of Designation of Preferences, Rights and Limitations of</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0%</w:t>
              </w:r>
              <w:r>
                <w:rPr>
                  <w:rFonts w:ascii="Times New Roman" w:cs="Times New Roman" w:eastAsia="Times New Roman" w:hAnsi="Times New Roman"/>
                  <w:sz w:val="18"/>
                  <w:szCs w:val="18"/>
                  <w:color w:val="0000EE"/>
                </w:rPr>
                <w:t xml:space="preserve"> Series A Cumulative Convertible Preferred Stock (incorporated herein by reference to Exhibit 3.2 filed with the Current Report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8-K (Reg. No. 001-41711) filed by the registrant on May 5,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Warrant issued to each Series A Investor (incorporated herein by reference to Exhibit 4.4 filed with the Current Report on Form 8-</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K (Reg. No. 001-41711) filed by the registrant on March 19,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Warrant issued to PIPE Investors.</w:t>
            </w:r>
          </w:p>
        </w:tc>
        <w:tc>
          <w:tcPr>
            <w:tcW w:w="7040" w:type="dxa"/>
            <w:vAlign w:val="bottom"/>
            <w:tcBorders>
              <w:bottom w:val="single" w:sz="8" w:color="CCEEFF"/>
              <w:right w:val="single" w:sz="8" w:color="CCEEFF"/>
            </w:tcBorders>
            <w:gridSpan w:val="9"/>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Waiver to Warrants issued to Series A Investors and PIPE Investors (incorporated herein by reference to Exhibit 4.5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Current Report on Form 8-K (Reg. No. 001-41711) filed by the registrant on May 5,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Amended and Restated Registration Rights Agreement, dated as of March 13, 2025, by and among USA Rare Earth, Inc., Inflection Point</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760" w:type="dxa"/>
            <w:vAlign w:val="bottom"/>
            <w:gridSpan w:val="7"/>
            <w:shd w:val="clear" w:color="auto" w:fill="0000EE"/>
          </w:tcPr>
          <w:p>
            <w:pPr>
              <w:spacing w:after="0" w:line="20" w:lineRule="exact"/>
              <w:rPr>
                <w:sz w:val="1"/>
                <w:szCs w:val="1"/>
                <w:color w:val="auto"/>
              </w:rPr>
            </w:pPr>
          </w:p>
        </w:tc>
        <w:tc>
          <w:tcPr>
            <w:tcW w:w="4340" w:type="dxa"/>
            <w:vAlign w:val="bottom"/>
            <w:tcBorders>
              <w:right w:val="single" w:sz="8" w:color="CCEEFF"/>
            </w:tcBorders>
            <w:gridSpan w:val="4"/>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Holdings II LLC and certain other holders of USA Rare Earth, Inc (incorporated herein by reference to Exhibit 10.1 to the Annual Report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on Form 10-K (Reg. No. 001-41711) filed by the registrant on March 31, 2025).</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0000EE"/>
              <w:bottom w:val="single" w:sz="8" w:color="auto"/>
            </w:tcBorders>
            <w:gridSpan w:val="4"/>
          </w:tcPr>
          <w:p>
            <w:pPr>
              <w:ind w:left="440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2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8"/>
            <w:shd w:val="clear" w:color="auto" w:fill="CCEEFF"/>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Sponsor Support Agreement, by and among Inflection Point Acquisition Corp. II, Inflection Point Holdings II LLC, and the other parties</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thereto (incorporated herein by reference to Exhibit 10.2 filed with the Registration Statement on Form S-4/A (Reg. No. 333-283181) filed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by the registrant on February 13, 2025).</w:t>
              </w:r>
            </w:hyperlink>
          </w:p>
        </w:tc>
        <w:tc>
          <w:tcPr>
            <w:tcW w:w="7220" w:type="dxa"/>
            <w:vAlign w:val="bottom"/>
            <w:tcBorders>
              <w:bottom w:val="single" w:sz="8" w:color="CCEEFF"/>
            </w:tcBorders>
            <w:gridSpan w:val="15"/>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Amendment No. 1 to Sponsor Support Agreement, dated as of January 31, 2025, by and among Inflection Point Acquisition Corp. II,</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Inflection Point Holdings II LLC, and the other parties thereto (incorporated herein by reference to Exhibit 10.8 filed with the Registration</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Statement on Form S-4/A (Reg. No. 333-283181) filed by the registrant on February 13, 2025).</w:t>
              </w:r>
            </w:hyperlink>
          </w:p>
        </w:tc>
      </w:tr>
      <w:tr>
        <w:trPr>
          <w:trHeight w:val="21"/>
        </w:trPr>
        <w:tc>
          <w:tcPr>
            <w:tcW w:w="114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Securities Purchase Agreement, by and among, Inflection Point Acquisition Corp. II, USA Rare Earth, LLC and the purchasers</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party thereto (incorporated herein by reference to Exhibit 10.5 filed with the Current Report on Form 8-K (Reg. No. 001-41711) filed by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registrant on March 19, 2025).</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Series A SPA Termination Agreement, dated as of January 31, 2025, by and among Inflection Point Acquisition Corp. II, USA Rare Earth,</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LLC and Inflection Point Fund I, LP (incorporated herein by reference to Exhibit 10.9 filed with the Registration Statement on Form S-4/A</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(Reg. No. 333-283181) filed by the registrant on February 13, 2025).</w:t>
              </w:r>
            </w:hyperlink>
          </w:p>
        </w:tc>
      </w:tr>
      <w:tr>
        <w:trPr>
          <w:trHeight w:val="21"/>
        </w:trPr>
        <w:tc>
          <w:tcPr>
            <w:tcW w:w="114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Amendment No. 1 to Securities Purchase Agreement, dated as of January 22, 2025, by and among Inflection Point Acquisition Corp. II,</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USA Rare Earth, LLC and Michael Blitzer (incorporated herein by reference to Exhibit 10.1 filed with the Current Report on Form 8-K</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(File No. 001-41711) filed by the registrant on January 28, 2025).</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Forward Purchase Agreement (incorporated by reference to Exhibit 10.1 filed with the Current Report on Form 8-K (File No. 001-</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41711) filed by the registrant on March 11, 2025).</w:t>
              </w:r>
            </w:hyperlink>
          </w:p>
        </w:tc>
      </w:tr>
      <w:tr>
        <w:trPr>
          <w:trHeight w:val="21"/>
        </w:trPr>
        <w:tc>
          <w:tcPr>
            <w:tcW w:w="114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Assignment and Assumption of Employment Agreement, dated as of March 12, 2025, by and between USA Rare Earth, Inc. (f/k/a</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Inflection Point Acquisition Corp. II), USA Rare Earth, LLC and Joshua Ballard (incorporated herein by reference to Exhibit 10.32 filed</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440" w:type="dxa"/>
            <w:vAlign w:val="bottom"/>
            <w:tcBorders>
              <w:top w:val="single" w:sz="8" w:color="0000EE"/>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with the Current Report on Form 8-K (Reg. No. 001-41711) filed by the registrant on March 19, 2025).</w:t>
              </w:r>
            </w:hyperlink>
          </w:p>
        </w:tc>
        <w:tc>
          <w:tcPr>
            <w:tcW w:w="264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Assignment and Assumption of Employment Agreement, dated as of March 12, 2025, by and between USA Rare Earth, Inc. (f/k/a</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Inflection Point Acquisition Corp. II), USA Rare Earth, LLC and William Robert Steele Jr. (incorporated by reference to Exhibit 10.1 filed</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with the Current Report on Form 8-K (File No. 001-41711) filed by the registrant on March 17, 2025).</w:t>
              </w:r>
            </w:hyperlink>
          </w:p>
        </w:tc>
      </w:tr>
      <w:tr>
        <w:trPr>
          <w:trHeight w:val="21"/>
        </w:trPr>
        <w:tc>
          <w:tcPr>
            <w:tcW w:w="114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Employment Agreement, effective as of March 24, 2025, between USA Rare Earth, Inc. and William Robert Steele Jr. (incorporated by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reference to Exhibit 10.2 filed with the Current Report on Form 8-K (File No. 001-41711) filed by the registrant on March 17,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USA Rare Earth, Inc. 2024 Omnibus Incentive Plan (incorporated herein by reference to Exhibit 10.35 filed with the Current Report on</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8-K (Reg. No. 001-41711) filed by the registrant on March 19, 2025).</w:t>
              </w:r>
            </w:hyperlink>
          </w:p>
        </w:tc>
      </w:tr>
      <w:tr>
        <w:trPr>
          <w:trHeight w:val="20"/>
        </w:trPr>
        <w:tc>
          <w:tcPr>
            <w:tcW w:w="114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Restricted Stock Unit Agreement (incorporated herein by reference to Exhibit 10.36 filed with the Current Report on Form 8-K</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(Reg. No. 001-41711) filed by the registrant on March 19, 2025).</w:t>
              </w:r>
            </w:hyperlink>
          </w:p>
        </w:tc>
        <w:tc>
          <w:tcPr>
            <w:tcW w:w="5400" w:type="dxa"/>
            <w:vAlign w:val="bottom"/>
            <w:tcBorders>
              <w:bottom w:val="single" w:sz="8" w:color="CCEEFF"/>
            </w:tcBorders>
            <w:gridSpan w:val="10"/>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Termination Agreement, dated as of March 13, 2025, between USA Rare Earth, Inc. (f/k/a Inflection Point 4.2* 10.4 Acquisition Corp. II)</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and Michael Blitzer (incorporated herein by reference to Exhibit 10.37 filed with the Current Report on Form 8-K (Reg. No. 001-41711)</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filed by the registrant on March 19, 2025).</w:t>
              </w:r>
            </w:hyperlink>
          </w:p>
        </w:tc>
      </w:tr>
      <w:tr>
        <w:trPr>
          <w:trHeight w:val="20"/>
        </w:trPr>
        <w:tc>
          <w:tcPr>
            <w:tcW w:w="114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Seventh Amended and Restated Operating Agreement of USA Rare Earth, LLC (incorporated herein by reference to Exhibit 10.38 filed</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with the Annual Report on Form 10-K (Reg. No. 001-41711) filed by the registrant on March 31, 2025).</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Restricted Stock Agreement (incorporated herein by reference to Exhibit 10.39 filed with the Current Report on Form 8-K (Reg.</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No. 001-41711) filed by the registrant on March 19, 2025).</w:t>
              </w:r>
            </w:hyperlink>
          </w:p>
        </w:tc>
      </w:tr>
      <w:tr>
        <w:trPr>
          <w:trHeight w:val="20"/>
        </w:trPr>
        <w:tc>
          <w:tcPr>
            <w:tcW w:w="114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Indemnification Agreement (incorporated herein by reference to Exhibit 10.40 filed with the Current Report on Form 8-K (Reg.</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No. 001-41711) filed by the registrant on March 19, 2025).</w:t>
              </w:r>
            </w:hyperlink>
          </w:p>
        </w:tc>
        <w:tc>
          <w:tcPr>
            <w:tcW w:w="5840" w:type="dxa"/>
            <w:vAlign w:val="bottom"/>
            <w:tcBorders>
              <w:bottom w:val="single" w:sz="8" w:color="CCEEFF"/>
            </w:tcBorders>
            <w:gridSpan w:val="11"/>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as adopted Pursuant to Section 302 of the</w:t>
            </w:r>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14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as adopted Pursuant to Section 302 of the</w:t>
            </w: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62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bl>
    <w:p>
      <w:pPr>
        <w:spacing w:after="0" w:line="9" w:lineRule="exact"/>
        <w:rPr>
          <w:sz w:val="20"/>
          <w:szCs w:val="20"/>
          <w:color w:val="auto"/>
        </w:rPr>
      </w:pPr>
    </w:p>
    <w:p>
      <w:pPr>
        <w:ind w:left="1140" w:hanging="1132"/>
        <w:spacing w:after="0" w:line="261"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Document Set for the consolidated financial statements and accompanying notes in Part I, “Financial Information”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07"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4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is not deemed “filed” for purposes of Section 18 of the Exchange Act, or otherwise subject to the liability of that section, nor shall they be deemed incorporated by reference into any filing under the Securities Act or the Exchange Act.</w:t>
      </w:r>
    </w:p>
    <w:p>
      <w:pPr>
        <w:spacing w:after="0" w:line="1"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USA Rare Earth, Inc.</w:t>
            </w:r>
          </w:p>
        </w:tc>
      </w:tr>
      <w:tr>
        <w:trPr>
          <w:trHeight w:val="4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3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Ballard</w:t>
            </w:r>
          </w:p>
        </w:tc>
      </w:tr>
      <w:tr>
        <w:trPr>
          <w:trHeight w:val="198"/>
        </w:trPr>
        <w:tc>
          <w:tcPr>
            <w:tcW w:w="4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Joshua Ballard</w:t>
            </w:r>
          </w:p>
        </w:tc>
      </w:tr>
      <w:tr>
        <w:trPr>
          <w:trHeight w:val="214"/>
        </w:trPr>
        <w:tc>
          <w:tcPr>
            <w:tcW w:w="4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5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3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Robert Steele Jr.</w:t>
            </w:r>
          </w:p>
        </w:tc>
      </w:tr>
      <w:tr>
        <w:trPr>
          <w:trHeight w:val="218"/>
        </w:trPr>
        <w:tc>
          <w:tcPr>
            <w:tcW w:w="4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William Robert Steele Jr.</w:t>
            </w:r>
          </w:p>
        </w:tc>
      </w:tr>
    </w:tbl>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ectPr>
          <w:pgSz w:w="11900" w:h="16838" w:orient="portrait"/>
          <w:cols w:equalWidth="0" w:num="1">
            <w:col w:w="11240"/>
          </w:cols>
          <w:pgMar w:left="320" w:top="117" w:right="339" w:bottom="1440" w:gutter="0" w:footer="0" w:header="0"/>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[_______]</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March [__], 2025</w:t>
      </w:r>
    </w:p>
    <w:p>
      <w:pPr>
        <w:spacing w:after="0" w:line="200" w:lineRule="exact"/>
        <w:rPr>
          <w:sz w:val="20"/>
          <w:szCs w:val="20"/>
          <w:color w:val="auto"/>
        </w:rPr>
      </w:pPr>
    </w:p>
    <w:p>
      <w:pPr>
        <w:sectPr>
          <w:pgSz w:w="11900" w:h="16838" w:orient="portrait"/>
          <w:cols w:equalWidth="0" w:num="2">
            <w:col w:w="7680" w:space="720"/>
            <w:col w:w="2840"/>
          </w:cols>
          <w:pgMar w:left="320" w:top="117" w:right="339" w:bottom="1440" w:gutter="0" w:footer="0" w:header="0"/>
          <w:type w:val="continuous"/>
        </w:sectPr>
      </w:pP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COMMON STOCK PURCHASE WARRANT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certifies that, for value received, [_____________] or its assigns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b w:val="1"/>
          <w:bCs w:val="1"/>
          <w:color w:val="auto"/>
        </w:rPr>
        <w:t>Initial Exercise Date</w:t>
      </w:r>
      <w:r>
        <w:rPr>
          <w:rFonts w:ascii="Times New Roman" w:cs="Times New Roman" w:eastAsia="Times New Roman" w:hAnsi="Times New Roman"/>
          <w:sz w:val="18"/>
          <w:szCs w:val="18"/>
          <w:color w:val="auto"/>
        </w:rPr>
        <w:t>”) and on or prior to 5:00 p.m. (New York City time) on March 13, 2030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but not thereafter, to subscribe for and purchase from USA Rare Earth,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up to [______] shares (as subject to adjustment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The purchase price of one share of Common Stock under this Warrant shall be equal to the Exercise Price, as defined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March [●], 2025, by and among the Company and the purchasers signatory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328"/>
        <w:spacing w:after="0" w:line="25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(or such other office or agency that the Company may designate by notice in writing to the registered Holder at the address of the Holder appearing on the books of the Company), as applicable, of a duly executed facsimile copy or PDF copy submitted by e-mail (or e-mail attachment) of the Notice of Exercise in the form annexed hereto (the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xml:space="preserve">”). Not later than the number of Trading Days comprising the Standard Settlement Period (as defined in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herein) following the date of exercise as aforesaid, the Holder shall deliver to the Company the aggregate Exercise Price for the shares specified in the applicable Notice of Exercise by wire transfer or cashier’s check drawn on a United States bank unless the cashless exercise procedure specified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jc w:val="both"/>
        <w:ind w:left="328" w:hanging="328"/>
        <w:spacing w:after="0" w:line="254"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$12.00, subject to adjustment hereunder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Notwithstanding the foregoing, at any time that the Conversion Price (as defined in the Certificate of Designation) adjusts (or is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lowered) pursuant to the terms of the Certificate of Designation (each, an “</w:t>
      </w:r>
      <w:r>
        <w:rPr>
          <w:rFonts w:ascii="Times New Roman" w:cs="Times New Roman" w:eastAsia="Times New Roman" w:hAnsi="Times New Roman"/>
          <w:sz w:val="18"/>
          <w:szCs w:val="18"/>
          <w:b w:val="1"/>
          <w:bCs w:val="1"/>
          <w:color w:val="auto"/>
        </w:rPr>
        <w:t>Adjustment Time</w:t>
      </w:r>
      <w:r>
        <w:rPr>
          <w:rFonts w:ascii="Times New Roman" w:cs="Times New Roman" w:eastAsia="Times New Roman" w:hAnsi="Times New Roman"/>
          <w:sz w:val="18"/>
          <w:szCs w:val="18"/>
          <w:color w:val="auto"/>
        </w:rPr>
        <w:t>”, and such adjusted Conversion Price related thereto, each, an “</w:t>
      </w:r>
      <w:r>
        <w:rPr>
          <w:rFonts w:ascii="Times New Roman" w:cs="Times New Roman" w:eastAsia="Times New Roman" w:hAnsi="Times New Roman"/>
          <w:sz w:val="18"/>
          <w:szCs w:val="18"/>
          <w:b w:val="1"/>
          <w:bCs w:val="1"/>
          <w:color w:val="auto"/>
        </w:rPr>
        <w:t>Adjusted Conversion Price</w:t>
      </w:r>
      <w:r>
        <w:rPr>
          <w:rFonts w:ascii="Times New Roman" w:cs="Times New Roman" w:eastAsia="Times New Roman" w:hAnsi="Times New Roman"/>
          <w:sz w:val="18"/>
          <w:szCs w:val="18"/>
          <w:color w:val="auto"/>
        </w:rPr>
        <w:t xml:space="preserve">”), if the Exercise Price then in effect immediately following such Adjustment Time is greater than such related Adjusted Conversion Price, immediately following such Adjustment Time the Exercise Price then in effect shall automatically be lowered by an amount equal to the difference between the Conversion Price immediately prior to the Adjustment Time and the Adjusted Conversion Price immediately after the Adjustment Time. Simultaneously with any adjustment to the Exercise Price pursuant to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the number of Warrant Shares that may be purchased upon exercise of this Warrant shall be increased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216"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the six (6) month anniversary of the Closing Date,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multiplied by (X)) by (A), where:</w:t>
      </w:r>
    </w:p>
    <w:p>
      <w:pPr>
        <w:spacing w:after="0" w:line="206" w:lineRule="exact"/>
        <w:rPr>
          <w:rFonts w:ascii="Times New Roman" w:cs="Times New Roman" w:eastAsia="Times New Roman" w:hAnsi="Times New Roman"/>
          <w:sz w:val="18"/>
          <w:szCs w:val="18"/>
          <w:color w:val="auto"/>
        </w:rPr>
      </w:pPr>
    </w:p>
    <w:p>
      <w:pPr>
        <w:ind w:left="968" w:hanging="644"/>
        <w:spacing w:after="0" w:line="253" w:lineRule="auto"/>
        <w:tabs>
          <w:tab w:leader="none" w:pos="6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as applicable: (i) the VWAP on the Trading Day immediately preceding the date of the applicable Notice of Exercise if such Notice of Exercise is (1) both executed and delivered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on a day that is not a Trading Day or (2) both executed and delivered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xml:space="preserve">”)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or (iii) the VWAP on the date of the applicable Notice of Exercise if the date of such Notice of Exercise is a Trading Day and such Notice of Exercise is both executed and delivered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218" w:lineRule="exact"/>
        <w:rPr>
          <w:rFonts w:ascii="Times New Roman" w:cs="Times New Roman" w:eastAsia="Times New Roman" w:hAnsi="Times New Roman"/>
          <w:sz w:val="18"/>
          <w:szCs w:val="18"/>
          <w:color w:val="auto"/>
        </w:rPr>
      </w:pPr>
    </w:p>
    <w:p>
      <w:pPr>
        <w:ind w:left="608" w:hanging="284"/>
        <w:spacing w:after="0"/>
        <w:tabs>
          <w:tab w:leader="none" w:pos="60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52" w:lineRule="exact"/>
        <w:rPr>
          <w:sz w:val="20"/>
          <w:szCs w:val="20"/>
          <w:color w:val="auto"/>
        </w:rPr>
      </w:pPr>
    </w:p>
    <w:p>
      <w:pPr>
        <w:ind w:left="968" w:hanging="644"/>
        <w:spacing w:after="0" w:line="282" w:lineRule="auto"/>
        <w:tabs>
          <w:tab w:leader="none" w:pos="6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89"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 xml:space="preserve">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32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common stock purchase warrants, such as this Warrant, with an initial exercise price of $12.00 per share, issued on the Initial Exercise Date and then outstanding and reasonably acceptable to the Company, the fees and expenses of which shall be paid by the Company.</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27" w:right="339" w:bottom="1440" w:gutter="0" w:footer="0" w:header="0"/>
        </w:sectPr>
      </w:pPr>
    </w:p>
    <w:bookmarkStart w:id="49" w:name="page50"/>
    <w:bookmarkEnd w:id="49"/>
    <w:p>
      <w:pPr>
        <w:jc w:val="both"/>
        <w:ind w:left="32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the 20 Trading Day preceding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the 20 Trading Days preceding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average of the highest closing bid price per share and the lowest closing ask price per share of the Common Stock for the 20 Trading Days preceding such date, or (d) in all other cases, the fair market value of a share of Common Stock as determined by an independent appraiser selected in good faith by the Purchasers of a majority in interest of the common stock purchase warrants, such as this Warrant, with an initial exercise price of $12.00 per share, issued on the Initial Exercise Date and then outstanding and reasonably acceptable to the Company, the fees and expenses of which shall be paid by the Company.</w:t>
      </w:r>
    </w:p>
    <w:p>
      <w:pPr>
        <w:spacing w:after="0" w:line="194" w:lineRule="exact"/>
        <w:rPr>
          <w:sz w:val="20"/>
          <w:szCs w:val="20"/>
          <w:color w:val="auto"/>
        </w:rPr>
      </w:pPr>
    </w:p>
    <w:p>
      <w:pPr>
        <w:jc w:val="both"/>
        <w:ind w:left="32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on the Termination Date, this Warrant shall be automatically exercised via cashless exercise pursuant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52"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if the Company is then a participant in such system and there is an effective registration statement permitting the issuance of the Warrant Shares to or resale of the Warrant Shares by the Holder, and otherwise by physical delivery of a certificate, (or reasonable evidence of issuance by book entry of ownership of the Warrant Shares) registered in the Company’s share register in the name of the Holder or its designee, for the number of Warrant Shares to which the Holder is entitled pursuant to such exercise to the address specified by the Holder in the Notice of Exercise by the date that is the later of (i) the Standard Settlement Period after the delivery to the Company of the Notice of Exercise, and (ii) one (1) Trading Day after delivery of the aggregate Exercise Price to the Company (such date, the “</w:t>
      </w:r>
      <w:r>
        <w:rPr>
          <w:rFonts w:ascii="Times New Roman" w:cs="Times New Roman" w:eastAsia="Times New Roman" w:hAnsi="Times New Roman"/>
          <w:sz w:val="18"/>
          <w:szCs w:val="18"/>
          <w:b w:val="1"/>
          <w:bCs w:val="1"/>
          <w:color w:val="auto"/>
        </w:rPr>
        <w:t>Warrant Share Delivery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in any event, the Company shall not be obligated to deliver Warrant Shares until it has received the aggregate Exercise Price therefor. 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xml:space="preserve"> payment of the aggregate Exercise Price (other than in the case of a cashless exercise) is received no later than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50" w:name="page51"/>
    <w:bookmarkEnd w:id="50"/>
    <w:p>
      <w:pPr>
        <w:jc w:val="both"/>
        <w:ind w:left="648" w:hanging="324"/>
        <w:spacing w:after="0" w:line="261"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06"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xml:space="preserve">. If the Company fails to cause the Transfer Agent to transmit to the Holder the Warrant Shares pursuant to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by the Warrant Share Delivery Date (subject to receipt of the aggregate Exercise Price for the applicable exercise (other than in the case of a cashless exercise)), then the Holder will have the right to rescind such exercise prior to the delivery of the Warrant Shares.</w:t>
      </w:r>
    </w:p>
    <w:p>
      <w:pPr>
        <w:spacing w:after="0" w:line="202" w:lineRule="exact"/>
        <w:rPr>
          <w:rFonts w:ascii="Times New Roman" w:cs="Times New Roman" w:eastAsia="Times New Roman" w:hAnsi="Times New Roman"/>
          <w:sz w:val="18"/>
          <w:szCs w:val="18"/>
          <w:color w:val="auto"/>
        </w:rPr>
      </w:pPr>
    </w:p>
    <w:p>
      <w:pPr>
        <w:jc w:val="both"/>
        <w:ind w:left="648" w:hanging="324"/>
        <w:spacing w:after="0" w:line="261"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6" w:lineRule="exact"/>
        <w:rPr>
          <w:rFonts w:ascii="Times New Roman" w:cs="Times New Roman" w:eastAsia="Times New Roman" w:hAnsi="Times New Roman"/>
          <w:sz w:val="18"/>
          <w:szCs w:val="18"/>
          <w:color w:val="auto"/>
        </w:rPr>
      </w:pPr>
    </w:p>
    <w:p>
      <w:pPr>
        <w:jc w:val="both"/>
        <w:ind w:left="648" w:hanging="324"/>
        <w:spacing w:after="0" w:line="272" w:lineRule="auto"/>
        <w:tabs>
          <w:tab w:leader="none" w:pos="648"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pursuant to the terms of this Warrant.</w:t>
      </w:r>
    </w:p>
    <w:p>
      <w:pPr>
        <w:spacing w:after="0" w:line="198" w:lineRule="exact"/>
        <w:rPr>
          <w:rFonts w:ascii="Times New Roman" w:cs="Times New Roman" w:eastAsia="Times New Roman" w:hAnsi="Times New Roman"/>
          <w:sz w:val="17"/>
          <w:szCs w:val="17"/>
          <w:color w:val="auto"/>
        </w:rPr>
      </w:pPr>
    </w:p>
    <w:p>
      <w:pPr>
        <w:ind w:left="648" w:hanging="324"/>
        <w:spacing w:after="0" w:line="282"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intended to prevent the timely exercise of this Warrant, pursuant to the terms hereof.</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xml:space="preserve">. The Holder may notify the Company in writing in the event it elects to be subject to the provisions contained in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however, the Holder shall not be subject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unless he, she or it makes such election. If the election is made, the Company shall not effect any exercise of this Warrant, and a Holder shall not have the right to exercise any portion of this Warrant,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otherwise, to the extent that after giving effect to such issuance after exercise as set forth on the applicable Notice of Exercise, the Holder (together with the Holder’s Affiliates, and any Persons acting as a group together with the Holder or any of the Holder’s Affiliates (such Persons,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would beneficially own in excess of 4.9%, 9.9%, 19.9% (or such other amount as the Holder may specify)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For purposes of the foregoing sentence, the number of shares of Common Stock beneficially owned by the Holder,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spacing w:after="0" w:line="5" w:lineRule="exact"/>
        <w:rPr>
          <w:rFonts w:ascii="Times New Roman" w:cs="Times New Roman" w:eastAsia="Times New Roman" w:hAnsi="Times New Roman"/>
          <w:sz w:val="18"/>
          <w:szCs w:val="18"/>
          <w:color w:val="auto"/>
        </w:rPr>
      </w:pPr>
    </w:p>
    <w:p>
      <w:pPr>
        <w:jc w:val="both"/>
        <w:ind w:left="328" w:hanging="4"/>
        <w:spacing w:after="0" w:line="250" w:lineRule="auto"/>
        <w:tabs>
          <w:tab w:leader="none" w:pos="6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or conversion of the unexercised or unconverted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applies, the determination of whether this Warrant is exercisable (in relation to other securities owned by the Holder together with any Affiliates and Attribution Parties) and, of which portion of this Warrant is exercisable up to the Beneficial Ownership Limitation shall be in the sole discretion of the Holder, and the submission of a Notice of Exercise shall be deemed to be the Holder’s good faith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the Warrant that are not in compliance with the Beneficial Ownership Limitation. For purposes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By written notice to the Company, the Holder may from time to time increase or decrease the Beneficial Ownership Limitation applicable to the Holder, provided, however, that any such increase in the Beneficial Ownership Limitation will not be effective until the sixty-first (61st) day after such notice is delivered to the Company.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31" w:right="339" w:bottom="501"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or any cash distributions), (ii) subdivides outstanding shares of Common Stock into a larger number of shares, (iii) combines (including by way of a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VWAP Reset</w:t>
      </w:r>
      <w:r>
        <w:rPr>
          <w:rFonts w:ascii="Times New Roman" w:cs="Times New Roman" w:eastAsia="Times New Roman" w:hAnsi="Times New Roman"/>
          <w:sz w:val="18"/>
          <w:szCs w:val="18"/>
          <w:color w:val="auto"/>
        </w:rPr>
        <w:t>. If on the twenty-first trading day following the date that is six months after the Closing Date, the VWAP (as defined by Bloomberg) of the Common Stock for the twenty trading period commencing on the date that is six months after the Closing Date (the “</w:t>
      </w:r>
      <w:r>
        <w:rPr>
          <w:rFonts w:ascii="Times New Roman" w:cs="Times New Roman" w:eastAsia="Times New Roman" w:hAnsi="Times New Roman"/>
          <w:sz w:val="18"/>
          <w:szCs w:val="18"/>
          <w:b w:val="1"/>
          <w:bCs w:val="1"/>
          <w:color w:val="auto"/>
        </w:rPr>
        <w:t>Measurement Price</w:t>
      </w:r>
      <w:r>
        <w:rPr>
          <w:rFonts w:ascii="Times New Roman" w:cs="Times New Roman" w:eastAsia="Times New Roman" w:hAnsi="Times New Roman"/>
          <w:sz w:val="18"/>
          <w:szCs w:val="18"/>
          <w:color w:val="auto"/>
        </w:rPr>
        <w:t>”) is less than the Exercise Price then in effect, then the Exercise Price then in effect shall be reduced to an amount equal to the greater of (i) the Measurement Price and (ii) $7.50.</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Common Stock</w:t>
      </w:r>
      <w:r>
        <w:rPr>
          <w:rFonts w:ascii="Times New Roman" w:cs="Times New Roman" w:eastAsia="Times New Roman" w:hAnsi="Times New Roman"/>
          <w:sz w:val="18"/>
          <w:szCs w:val="18"/>
          <w:color w:val="auto"/>
        </w:rPr>
        <w:t xml:space="preserve">. If and whenever on or after the Closing Date, the Company issues or sells, or in accordance with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is deemed to have issued or sold, any shares of Common Stock (including the issuance or sale of shares of Common Stock owned or held by or for the account of the Company, </w:t>
      </w:r>
      <w:r>
        <w:rPr>
          <w:rFonts w:ascii="Times New Roman" w:cs="Times New Roman" w:eastAsia="Times New Roman" w:hAnsi="Times New Roman"/>
          <w:sz w:val="18"/>
          <w:szCs w:val="18"/>
          <w:i w:val="1"/>
          <w:iCs w:val="1"/>
          <w:u w:val="single" w:color="auto"/>
          <w:color w:val="auto"/>
        </w:rPr>
        <w:t>but</w:t>
      </w:r>
      <w:r>
        <w:rPr>
          <w:rFonts w:ascii="Times New Roman" w:cs="Times New Roman" w:eastAsia="Times New Roman" w:hAnsi="Times New Roman"/>
          <w:sz w:val="18"/>
          <w:szCs w:val="18"/>
          <w:color w:val="auto"/>
        </w:rPr>
        <w:t xml:space="preserve"> excluding shares of Common Stock deemed to have been issued or sold by the Company in connection with any Exempt Issuance)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less</w:t>
      </w:r>
      <w:r>
        <w:rPr>
          <w:rFonts w:ascii="Times New Roman" w:cs="Times New Roman" w:eastAsia="Times New Roman" w:hAnsi="Times New Roman"/>
          <w:sz w:val="18"/>
          <w:szCs w:val="18"/>
          <w:color w:val="auto"/>
        </w:rPr>
        <w:t xml:space="preserve"> than the lesser of (i) $10.00 and (ii) the Exercise Price then in effect (such price thresholds described in clauses (i) and (ii), collectively,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each such issue, sale or deemed issuance or sale,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xml:space="preserve">”), in issuances and sales conducted for the purpose of raising capital by the Company where the aggregate amount of consideration received by the Company, together with all prior issuances and sales conducted for the purpose of raising capital by the Company on or after the Closing Date that were excluded from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by this clause, exceeds $500,000, then immediately after such Dilutive Issuance, the Exercise Price then in effect shall be reduced to an amount equal to the New Issuance Price.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ind w:left="600"/>
        <w:spacing w:after="0"/>
        <w:rPr>
          <w:sz w:val="20"/>
          <w:szCs w:val="20"/>
          <w:color w:val="auto"/>
        </w:rPr>
      </w:pPr>
      <w:r>
        <w:rPr>
          <w:rFonts w:ascii="Times New Roman" w:cs="Times New Roman" w:eastAsia="Times New Roman" w:hAnsi="Times New Roman"/>
          <w:sz w:val="18"/>
          <w:szCs w:val="18"/>
          <w:color w:val="auto"/>
        </w:rPr>
        <w:t>As used in this Warrant, the following terms shall have the following meanings:</w:t>
      </w:r>
    </w:p>
    <w:p>
      <w:pPr>
        <w:spacing w:after="0" w:line="329" w:lineRule="exact"/>
        <w:rPr>
          <w:sz w:val="20"/>
          <w:szCs w:val="20"/>
          <w:color w:val="auto"/>
        </w:rPr>
      </w:pPr>
    </w:p>
    <w:p>
      <w:pPr>
        <w:jc w:val="both"/>
        <w:ind w:left="920" w:hanging="324"/>
        <w:spacing w:after="0" w:line="262"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and any securities of the Company that when paired with one or more other securities of the Company or another entity entitles the holder thereof to receive, Common Stock.</w:t>
      </w:r>
    </w:p>
    <w:p>
      <w:pPr>
        <w:spacing w:after="0" w:line="176" w:lineRule="exact"/>
        <w:rPr>
          <w:sz w:val="20"/>
          <w:szCs w:val="20"/>
          <w:color w:val="auto"/>
        </w:rPr>
      </w:pPr>
    </w:p>
    <w:p>
      <w:pPr>
        <w:jc w:val="both"/>
        <w:ind w:left="920" w:hanging="324"/>
        <w:spacing w:after="0" w:line="268" w:lineRule="auto"/>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or which otherwise entitles the holder thereof to acquire, any shares of Common Stock and any securities of the Company that when paired with one or more other securities of the Company or another entity entitles the holder thereof to receive, Common Stock.</w:t>
      </w:r>
    </w:p>
    <w:p>
      <w:pPr>
        <w:spacing w:after="0" w:line="171" w:lineRule="exact"/>
        <w:rPr>
          <w:sz w:val="20"/>
          <w:szCs w:val="20"/>
          <w:color w:val="auto"/>
        </w:rPr>
      </w:pPr>
    </w:p>
    <w:p>
      <w:pPr>
        <w:jc w:val="both"/>
        <w:ind w:left="920" w:hanging="323"/>
        <w:spacing w:after="0" w:line="25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color w:val="auto"/>
        </w:rPr>
        <w:t>Exempt Issuance</w:t>
      </w:r>
      <w:r>
        <w:rPr>
          <w:rFonts w:ascii="Times New Roman" w:cs="Times New Roman" w:eastAsia="Times New Roman" w:hAnsi="Times New Roman"/>
          <w:sz w:val="18"/>
          <w:szCs w:val="18"/>
          <w:color w:val="auto"/>
        </w:rPr>
        <w:t>” means the issuance of (a) any securities of the Company to employees, officers or directors, consultants, contractors, vendors or other agents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pursuant to the Purchase Agreement or the Business Combination Agreement and/or other securities exercisable or exchangeable for or convertible into shares of Common Stock issued and outstanding on the date of this Warrant, provided that such securities have not been amended since the date of this Warrant to increase the number of such securities or to decrease the exercise price, exchange price or conversion price of such securities (other than in connection with stock splits or combinations) or to extend the term of such securities, (c) the Underlying Shares, (d) securities issued pursuant to any merger, acquisition or strategic transaction or partnership approved by a majority of the directors of the Company, provided that (i) such securities are issued as “restricted securities” (as defined in Rule 144) or are issued pursuant to an effective registration statement pursuant to the Securities Act and (ii)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and (e) any securities issued by the Company pursuant to any legal settlement or similar arrangement agreed or entered into by the Company, provided that, in the aggregate, not</w:t>
      </w:r>
    </w:p>
    <w:p>
      <w:pPr>
        <w:spacing w:after="0" w:line="4" w:lineRule="exact"/>
        <w:rPr>
          <w:sz w:val="20"/>
          <w:szCs w:val="20"/>
          <w:color w:val="auto"/>
        </w:rPr>
      </w:pPr>
    </w:p>
    <w:p>
      <w:pPr>
        <w:jc w:val="both"/>
        <w:ind w:left="920"/>
        <w:spacing w:after="0" w:line="227" w:lineRule="auto"/>
        <w:rPr>
          <w:sz w:val="20"/>
          <w:szCs w:val="20"/>
          <w:color w:val="auto"/>
        </w:rPr>
      </w:pPr>
      <w:r>
        <w:rPr>
          <w:rFonts w:ascii="Times New Roman" w:cs="Times New Roman" w:eastAsia="Times New Roman" w:hAnsi="Times New Roman"/>
          <w:sz w:val="18"/>
          <w:szCs w:val="18"/>
          <w:color w:val="auto"/>
        </w:rPr>
        <w:t>more than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of Common Stock are issued or deemed issued or issuable upon conversion, settlement, exercise or exchange of any such securities that are Options or Convertible Securities, but any such Exempt Issuance shall not include a transaction in which the Company is issuing securities (i) primarily for the purpose of raising capital, including an at-the-market offering, and (ii) to an entity whose primary business is investing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NTD: To be 1,000,000 multiplied by the Exchange Ratio</w:t>
      </w: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931" w:right="33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color w:val="auto"/>
        </w:rPr>
        <w:t>(IV)“</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 and</w:t>
      </w:r>
    </w:p>
    <w:p>
      <w:pPr>
        <w:spacing w:after="0" w:line="225" w:lineRule="exact"/>
        <w:rPr>
          <w:sz w:val="20"/>
          <w:szCs w:val="20"/>
          <w:color w:val="auto"/>
        </w:rPr>
      </w:pPr>
    </w:p>
    <w:p>
      <w:pPr>
        <w:jc w:val="both"/>
        <w:ind w:left="324" w:hanging="324"/>
        <w:spacing w:after="0" w:line="253"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Value</w:t>
      </w:r>
      <w:r>
        <w:rPr>
          <w:rFonts w:ascii="Times New Roman" w:cs="Times New Roman" w:eastAsia="Times New Roman" w:hAnsi="Times New Roman"/>
          <w:sz w:val="18"/>
          <w:szCs w:val="18"/>
          <w:color w:val="auto"/>
        </w:rPr>
        <w:t xml:space="preserve">” means the value of an Option based on the Black-Scholes Option Pricing model obtained from the “OV” function on Bloomberg determined as of (A) the Trading Day prior to the public announcement of the issuance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w:t>
      </w:r>
      <w:r>
        <w:rPr>
          <w:rFonts w:ascii="Times New Roman" w:cs="Times New Roman" w:eastAsia="Times New Roman" w:hAnsi="Times New Roman"/>
          <w:sz w:val="18"/>
          <w:szCs w:val="18"/>
          <w:b w:val="1"/>
          <w:bCs w:val="1"/>
          <w:u w:val="single" w:color="auto"/>
          <w:color w:val="auto"/>
        </w:rPr>
        <w:t>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100% and the 100 day volatility obtained from the HVT function on Bloomberg as of (A) the Trading Day immediately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Common Stock during the period beginning on the Trading Day prior to the execution of definitive documentation relating to the issuance of the applicable Option and ending on (A) the Trading Day immediately following the public announcement of such issuance, if the issuance of such Option is publicly announced or (B) the Trading Day immediately following the issuance of the applicable Option if the issuance of such Option is not publicly announced, (iv) a zero cost of borrow and (v) a 360 day annualization factor.</w:t>
      </w:r>
    </w:p>
    <w:p>
      <w:pPr>
        <w:spacing w:after="0" w:line="2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 purposes of determining the adjusted Exercise Price under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the following shall be applicable:</w:t>
      </w:r>
    </w:p>
    <w:p>
      <w:pPr>
        <w:spacing w:after="0" w:line="225" w:lineRule="exact"/>
        <w:rPr>
          <w:sz w:val="20"/>
          <w:szCs w:val="20"/>
          <w:color w:val="auto"/>
        </w:rPr>
      </w:pPr>
    </w:p>
    <w:p>
      <w:pPr>
        <w:jc w:val="both"/>
        <w:ind w:left="324" w:hanging="324"/>
        <w:spacing w:after="0" w:line="254"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Company for Common Stock deemed to have been issued pursuant to </w:t>
      </w:r>
      <w:r>
        <w:rPr>
          <w:rFonts w:ascii="Times New Roman" w:cs="Times New Roman" w:eastAsia="Times New Roman" w:hAnsi="Times New Roman"/>
          <w:sz w:val="18"/>
          <w:szCs w:val="18"/>
          <w:u w:val="single" w:color="auto"/>
          <w:color w:val="auto"/>
        </w:rPr>
        <w:t>Section 3(c)(ii)</w:t>
      </w:r>
      <w:r>
        <w:rPr>
          <w:rFonts w:ascii="Times New Roman" w:cs="Times New Roman" w:eastAsia="Times New Roman" w:hAnsi="Times New Roman"/>
          <w:sz w:val="18"/>
          <w:szCs w:val="18"/>
          <w:color w:val="auto"/>
        </w:rPr>
        <w:t xml:space="preserve">, relating to Options and Convertible Securities, shall be determined by dividing: (x)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 (y) the maximum number of shares of Common Stock (as set forth in the instruments relating thereto, without regard to any provision contained therein for a subsequent adjustment of such number) deemed to be issued pursuant to </w:t>
      </w:r>
      <w:r>
        <w:rPr>
          <w:rFonts w:ascii="Times New Roman" w:cs="Times New Roman" w:eastAsia="Times New Roman" w:hAnsi="Times New Roman"/>
          <w:sz w:val="18"/>
          <w:szCs w:val="18"/>
          <w:u w:val="single" w:color="auto"/>
          <w:color w:val="auto"/>
        </w:rPr>
        <w:t>Section 3(c)(ii)</w:t>
      </w:r>
      <w:r>
        <w:rPr>
          <w:rFonts w:ascii="Times New Roman" w:cs="Times New Roman" w:eastAsia="Times New Roman" w:hAnsi="Times New Roman"/>
          <w:sz w:val="18"/>
          <w:szCs w:val="18"/>
          <w:color w:val="auto"/>
        </w:rPr>
        <w:t xml:space="preserve"> upon the issuance of such Options or Convertible Securities.</w:t>
      </w:r>
    </w:p>
    <w:p>
      <w:pPr>
        <w:spacing w:after="0" w:line="188"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Issuance of Options and Convertible Securities</w:t>
      </w:r>
      <w:r>
        <w:rPr>
          <w:rFonts w:ascii="Times New Roman" w:cs="Times New Roman" w:eastAsia="Times New Roman" w:hAnsi="Times New Roman"/>
          <w:sz w:val="18"/>
          <w:szCs w:val="18"/>
          <w:color w:val="auto"/>
        </w:rPr>
        <w:t>. If the Company at any time or from time to time shall issue any Options or Convertible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outstanding and to have been issued as of the time of such issue or, in case such a record date shall have been fixed, as of the close of business on such record date.</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035" w:right="339" w:bottom="1440" w:gutter="0" w:footer="0" w:header="0"/>
        </w:sectPr>
      </w:pPr>
    </w:p>
    <w:bookmarkStart w:id="54" w:name="page55"/>
    <w:bookmarkEnd w:id="54"/>
    <w:p>
      <w:pPr>
        <w:jc w:val="both"/>
        <w:ind w:left="324" w:hanging="324"/>
        <w:spacing w:after="0" w:line="253"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w:t>
      </w:r>
      <w:r>
        <w:rPr>
          <w:rFonts w:ascii="Times New Roman" w:cs="Times New Roman" w:eastAsia="Times New Roman" w:hAnsi="Times New Roman"/>
          <w:sz w:val="18"/>
          <w:szCs w:val="18"/>
          <w:color w:val="auto"/>
        </w:rPr>
        <w:t xml:space="preserve">. If, after the Initial Exercise Date, the purchase price provided for in any Options, the additional consideration, if any, payable upon the issue, conversion, exercise or exchange of any Convertible Securities, or the rate at which any Convertible Securities are convertible into or exercisable or exchangeable for Common Stock increases or decreases at any time, (other than (x) proportional changes in conversion or exercise prices, as applicable, in connection with an event referred to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 and (y) automatic adjustments to such terms pursuant to anti-dilution or similar provisions of such Option or Convertible Security which are not more favorable to the holder thereof than the anti-dilution and similar provisions set forth herein),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w:t>
      </w:r>
      <w:r>
        <w:rPr>
          <w:rFonts w:ascii="Times New Roman" w:cs="Times New Roman" w:eastAsia="Times New Roman" w:hAnsi="Times New Roman"/>
          <w:sz w:val="18"/>
          <w:szCs w:val="18"/>
          <w:u w:val="single" w:color="auto"/>
          <w:color w:val="auto"/>
        </w:rPr>
        <w:t>Section 3(c)(iii)</w:t>
      </w:r>
      <w:r>
        <w:rPr>
          <w:rFonts w:ascii="Times New Roman" w:cs="Times New Roman" w:eastAsia="Times New Roman" w:hAnsi="Times New Roman"/>
          <w:sz w:val="18"/>
          <w:szCs w:val="18"/>
          <w:color w:val="auto"/>
        </w:rPr>
        <w:t xml:space="preserve">, if the terms of any Option or Convertible Security that was outstanding as of the Initial Exercise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shall be made if such adjustment would result in an increase of the Exercise Price then in effect.</w:t>
      </w:r>
    </w:p>
    <w:p>
      <w:pPr>
        <w:spacing w:after="0" w:line="214"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In case any Option is issued in connection with the issue or sale of other securities of the Company, together comprising one integrated transaction, (x) the Options will be deemed to have been issued for the Option Value of such Options and</w:t>
      </w:r>
    </w:p>
    <w:p>
      <w:pPr>
        <w:jc w:val="both"/>
        <w:ind w:left="324"/>
        <w:spacing w:after="0" w:line="251" w:lineRule="auto"/>
        <w:tabs>
          <w:tab w:leader="none" w:pos="5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securities issued or sold in such integrated transaction shall be deemed to have been issued or sold for the difference of (I) the aggregate consideration received by the Company less any consideration paid or payable by the Company pursuant to the terms of such other securities of the Company, less (II) the Option Value. If any shares of Common Stock, Options or Convertible Securities are issued or sold or deemed to have been issued or sold for cash, the consideration other than cash received therefor will be deemed to be the net amount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will be the closing sale price of such publicly traded securities on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a majority in interest of the Securities then outstanding.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(5) Business Days after the tenth (10th) day following the Valuation Event by an independent, reputable appraiser jointly selected by the Company and a majority in interest of the Securities then outstanding. The determination of such appraiser shall be final and binding upon all parties absent manifest error and the fees and expenses of such appraiser shall be borne by the Company.</w:t>
      </w:r>
    </w:p>
    <w:p>
      <w:pPr>
        <w:spacing w:after="0" w:line="216"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00" w:lineRule="exact"/>
        <w:rPr>
          <w:sz w:val="20"/>
          <w:szCs w:val="20"/>
          <w:color w:val="auto"/>
        </w:rPr>
      </w:pPr>
    </w:p>
    <w:p>
      <w:pPr>
        <w:spacing w:after="0" w:line="22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5" w:name="page56"/>
    <w:bookmarkEnd w:id="55"/>
    <w:p>
      <w:pPr>
        <w:jc w:val="both"/>
        <w:ind w:left="648" w:hanging="324"/>
        <w:spacing w:after="0" w:line="261"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or Termination of Options or Convertible Securities</w:t>
      </w:r>
      <w:r>
        <w:rPr>
          <w:rFonts w:ascii="Times New Roman" w:cs="Times New Roman" w:eastAsia="Times New Roman" w:hAnsi="Times New Roman"/>
          <w:sz w:val="18"/>
          <w:szCs w:val="18"/>
          <w:color w:val="auto"/>
        </w:rPr>
        <w:t xml:space="preserve">. Upon the expiration or termination of any unexercised Option or unconverted or unexchanged Convertible Securities (or portion thereof) which resulted (either upon its original issuance or upon a revision of its terms) in an adjustment to the Exercise Price pursuant to the terms of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the Exercise Price shall be readjusted to such Conversion Price as would have obtained had such Option or Convertible Securities (or portion thereof) never been issued.</w:t>
      </w:r>
    </w:p>
    <w:p>
      <w:pPr>
        <w:spacing w:after="0" w:line="206"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 if at any time after the Initial Exercise Date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any applicable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any applicable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any applicable Beneficial Ownership Limitation). To the extent that the issue price of such Purchase Rights would result in an adjustment of the Conversion Price pursuant to Section 7(c), such adjustment shall not occur to the extent the Holders were granted the right to acquire such Purchase Rights on the applicable terms.</w:t>
      </w:r>
    </w:p>
    <w:p>
      <w:pPr>
        <w:spacing w:after="0" w:line="224"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after the Initial Exercise Date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any applicable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any applicable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any applicable Beneficial Ownership Limitation).</w:t>
      </w: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56" w:name="page57"/>
    <w:bookmarkEnd w:id="56"/>
    <w:p>
      <w:pPr>
        <w:jc w:val="both"/>
        <w:ind w:left="328" w:hanging="328"/>
        <w:spacing w:after="0" w:line="250"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If, at any time after the Initial Exercise Date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stock split, combination or reclassification of shares of Common Stock covered by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 50% or more of the voting power of the common equity of the Company (each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b w:val="1"/>
          <w:bCs w:val="1"/>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 is exercisable immediately prior to such Fundamental Transaction (without regard to any limitation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or ordinary shares of the Successor Entity (which Successor Entity may be the Company following such Fundamental Transaction) in such Fundamental Transaction. “</w:t>
      </w:r>
      <w:r>
        <w:rPr>
          <w:rFonts w:ascii="Times New Roman" w:cs="Times New Roman" w:eastAsia="Times New Roman" w:hAnsi="Times New Roman"/>
          <w:sz w:val="18"/>
          <w:szCs w:val="18"/>
          <w:b w:val="1"/>
          <w:bCs w:val="1"/>
          <w:u w:val="single" w:color="auto"/>
          <w:color w:val="auto"/>
        </w:rPr>
        <w:t>Black Scholes Value</w:t>
      </w:r>
      <w:r>
        <w:rPr>
          <w:rFonts w:ascii="Times New Roman" w:cs="Times New Roman" w:eastAsia="Times New Roman" w:hAnsi="Times New Roman"/>
          <w:sz w:val="18"/>
          <w:szCs w:val="18"/>
          <w:color w:val="auto"/>
        </w:rPr>
        <w:t xml:space="preserv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w:t>
      </w:r>
      <w:r>
        <w:rPr>
          <w:rFonts w:ascii="Times New Roman" w:cs="Times New Roman" w:eastAsia="Times New Roman" w:hAnsi="Times New Roman"/>
          <w:sz w:val="18"/>
          <w:szCs w:val="18"/>
          <w:b w:val="1"/>
          <w:bCs w:val="1"/>
          <w:u w:val="single" w:color="auto"/>
          <w:color w:val="auto"/>
        </w:rPr>
        <w:t>greater</w:t>
      </w:r>
      <w:r>
        <w:rPr>
          <w:rFonts w:ascii="Times New Roman" w:cs="Times New Roman" w:eastAsia="Times New Roman" w:hAnsi="Times New Roman"/>
          <w:sz w:val="18"/>
          <w:szCs w:val="18"/>
          <w:color w:val="auto"/>
        </w:rPr>
        <w:t xml:space="preserve">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w:t>
      </w:r>
      <w:r>
        <w:rPr>
          <w:rFonts w:ascii="Times New Roman" w:cs="Times New Roman" w:eastAsia="Times New Roman" w:hAnsi="Times New Roman"/>
          <w:sz w:val="18"/>
          <w:szCs w:val="18"/>
          <w:b w:val="1"/>
          <w:bCs w:val="1"/>
          <w:u w:val="single" w:color="auto"/>
          <w:color w:val="auto"/>
        </w:rPr>
        <w:t>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 the sum of the price per share being offered in cash, if any, plus the value of any non-cash consideration, if any, being offered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to assume in writing all of the obligations of the Company under this Warrant and the other Transaction Documents in accordance with the provisions of this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0" w:lineRule="exact"/>
        <w:rPr>
          <w:sz w:val="20"/>
          <w:szCs w:val="20"/>
          <w:color w:val="auto"/>
        </w:rPr>
      </w:pPr>
    </w:p>
    <w:p>
      <w:pPr>
        <w:spacing w:after="0" w:line="2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57" w:name="page58"/>
    <w:bookmarkEnd w:id="57"/>
    <w:p>
      <w:pPr>
        <w:jc w:val="both"/>
        <w:ind w:left="328" w:hanging="328"/>
        <w:spacing w:after="0" w:line="266"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made to the nearest cent or the nearest 1/100th of a share, as the case may be. For purposes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202"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20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Whenever the Exercise Price is adjusted pursuant to any provision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202" w:lineRule="exact"/>
        <w:rPr>
          <w:rFonts w:ascii="Times New Roman" w:cs="Times New Roman" w:eastAsia="Times New Roman" w:hAnsi="Times New Roman"/>
          <w:sz w:val="18"/>
          <w:szCs w:val="18"/>
          <w:color w:val="auto"/>
        </w:rPr>
      </w:pPr>
    </w:p>
    <w:p>
      <w:pPr>
        <w:jc w:val="both"/>
        <w:ind w:left="648" w:hanging="324"/>
        <w:spacing w:after="0" w:line="251" w:lineRule="auto"/>
        <w:tabs>
          <w:tab w:leader="none" w:pos="6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any notice delivery requirement hereunder shall also be deemed satisfied by filing or furnishing such communication with the Commission via the EDGAR system;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failure to deliver such notice or any defect therein or in the delivery thereof shall not affect the validity of the corporate action required to be specified in such notice. To the extent that any notice provided to the Holder in accordance with the terms of this Warrant constitutes, or contains, material, non-public information regarding the Company or any of the subsidiaries, the Company shall simultaneously file such notice with the Commission pursuant to a Current Report on Form 8-K, unless determined by the Company that such filing would be harmful to the Company at such time, in which case the Company shall file such 8-K as soon as is reasonably practicable in its discretion.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58" w:name="page59"/>
    <w:bookmarkEnd w:id="58"/>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Subject to compliance with any applicable securities laws and the conditions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hereof and to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absolute owner hereof for the purpose of any exercise hereof or any distribution to the Holder, and for all other purposes, absent actual notice to the contrary.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9" w:name="page60"/>
    <w:bookmarkEnd w:id="59"/>
    <w:p>
      <w:pPr>
        <w:jc w:val="both"/>
        <w:ind w:left="66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xml:space="preserve">.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except as expressly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 on exercise set forth herein and assuming an Exercise Price equal to the lower of (i) $5.00 and (ii) the Exercise Price then in effect).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18"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any Certificate of Designation thereto)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jc w:val="both"/>
        <w:ind w:left="648" w:hanging="324"/>
        <w:spacing w:after="0" w:line="266" w:lineRule="auto"/>
        <w:tabs>
          <w:tab w:leader="none" w:pos="6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2"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88"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1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202"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206"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6"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waived or amended or the provisions hereof waived with the written consent of the Company and the Holder.</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202"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Common Stock Purchase Warrant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 RARE EARTH, INC.</w:t>
            </w: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5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Email:</w:t>
            </w:r>
          </w:p>
        </w:tc>
      </w:tr>
      <w:tr>
        <w:trPr>
          <w:trHeight w:val="45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682"/>
        </w:trPr>
        <w:tc>
          <w:tcPr>
            <w:tcW w:w="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Common Stock Purchase Warrant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right="20" w:firstLine="980"/>
        <w:spacing w:after="0" w:line="282" w:lineRule="auto"/>
        <w:tabs>
          <w:tab w:leader="none" w:pos="12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620" w:right="20" w:firstLine="8"/>
        <w:spacing w:after="0" w:line="266" w:lineRule="auto"/>
        <w:tabs>
          <w:tab w:leader="none" w:pos="1857"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291465</wp:posOffset>
            </wp:positionV>
            <wp:extent cx="28543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154305</wp:posOffset>
            </wp:positionV>
            <wp:extent cx="28543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445770</wp:posOffset>
            </wp:positionV>
            <wp:extent cx="28543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737235</wp:posOffset>
            </wp:positionV>
            <wp:extent cx="28543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980"/>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Date:__________________________________________________________________________________________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178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 OR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Ballard,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USA Rare Earth, Inc. for the period ended March 31, 2025;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7"/>
          <w:szCs w:val="17"/>
          <w:color w:val="auto"/>
        </w:rPr>
        <w:t>/s/ Joshua Ballard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Joshua Ballard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 OR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Robert Steele Jr.,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USA Rare Earth, Inc. for the period ended March 31, 2025;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7"/>
          <w:szCs w:val="17"/>
          <w:color w:val="auto"/>
        </w:rPr>
        <w:t>/s/ William Robert Steele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William Robert Steele Jr.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and Exchange Act of 1934, as amended (the “Exchange Act”), and Section 1350 of Chapter 63 of Title 18 of the United States Code, Joshua Ballard, Chief Executive Officer of USA Rare Earth, Inc., and William Robert Steele Jr., Chief Financial Officer of USA Rare Earth, Inc., each hereby certify that, to the best of his knowledge:</w:t>
      </w:r>
    </w:p>
    <w:p>
      <w:pPr>
        <w:spacing w:after="0" w:line="176"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“Quarterly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of the Company at the end of the period covered by the Quarterly Report and results of operations of the Company for the period covered by the Quarterly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w:t>
            </w:r>
          </w:p>
        </w:tc>
        <w:tc>
          <w:tcPr>
            <w:tcW w:w="3920" w:type="dxa"/>
            <w:vAlign w:val="bottom"/>
          </w:tcPr>
          <w:p>
            <w:pPr>
              <w:spacing w:after="0"/>
              <w:rPr>
                <w:sz w:val="20"/>
                <w:szCs w:val="20"/>
                <w:color w:val="auto"/>
              </w:rPr>
            </w:pPr>
          </w:p>
        </w:tc>
      </w:tr>
      <w:tr>
        <w:trPr>
          <w:trHeight w:val="4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Ballard</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Joshua Ballard</w:t>
            </w:r>
          </w:p>
        </w:tc>
      </w:tr>
      <w:tr>
        <w:trPr>
          <w:trHeight w:val="216"/>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Robert Steele Jr.</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William Robert Steele Jr.</w:t>
            </w:r>
          </w:p>
        </w:tc>
      </w:tr>
      <w:tr>
        <w:trPr>
          <w:trHeight w:val="216"/>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USA Rare Earth,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815"/>
    </w:lvl>
  </w:abstractNum>
  <w:abstractNum w:abstractNumId="13">
    <w:nsid w:val="6CEAF087"/>
    <w:multiLevelType w:val="hybridMultilevel"/>
    <w:lvl w:ilvl="0">
      <w:lvlJc w:val="left"/>
      <w:lvlText w:val="%1"/>
      <w:numFmt w:val="decimal"/>
      <w:start w:val="19"/>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bullet"/>
      <w:start w:val="1"/>
    </w:lvl>
  </w:abstractNum>
  <w:abstractNum w:abstractNumId="16">
    <w:nsid w:val="3006C83E"/>
    <w:multiLevelType w:val="hybridMultilevel"/>
    <w:lvl w:ilvl="0">
      <w:lvlJc w:val="left"/>
      <w:lvlText w:val="2"/>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0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2"/>
    </w:lvl>
    <w:lvl w:ilvl="1">
      <w:lvlJc w:val="left"/>
      <w:lvlText w:val="(%2)"/>
      <w:numFmt w:val="upperLetter"/>
      <w:start w:val="1"/>
    </w:lvl>
  </w:abstractNum>
  <w:abstractNum w:abstractNumId="24">
    <w:nsid w:val="7724C67E"/>
    <w:multiLevelType w:val="hybridMultilevel"/>
    <w:lvl w:ilvl="0">
      <w:lvlJc w:val="left"/>
      <w:lvlText w:val="(%1)"/>
      <w:numFmt w:val="upperLetter"/>
      <w:start w:val="24"/>
    </w:lvl>
  </w:abstractNum>
  <w:abstractNum w:abstractNumId="25">
    <w:nsid w:val="5C482A97"/>
    <w:multiLevelType w:val="hybridMultilevel"/>
    <w:lvl w:ilvl="0">
      <w:lvlJc w:val="left"/>
      <w:lvlText w:val="(%1)"/>
      <w:numFmt w:val="lowerLetter"/>
      <w:start w:val="4"/>
    </w:lvl>
    <w:lvl w:ilvl="1">
      <w:lvlJc w:val="left"/>
      <w:lvlText w:val="(%2)"/>
      <w:numFmt w:val="lowerRoman"/>
      <w:start w:val="1"/>
    </w:lvl>
  </w:abstractNum>
  <w:abstractNum w:abstractNumId="26">
    <w:nsid w:val="2463B9EA"/>
    <w:multiLevelType w:val="hybridMultilevel"/>
    <w:lvl w:ilvl="0">
      <w:lvlJc w:val="left"/>
      <w:lvlText w:val="%1"/>
      <w:numFmt w:val="lowerLetter"/>
      <w:start w:val="1"/>
    </w:lvl>
    <w:lvl w:ilvl="1">
      <w:lvlJc w:val="left"/>
      <w:lvlText w:val="(%2)"/>
      <w:numFmt w:val="lowerRoman"/>
      <w:start w:val="2"/>
    </w:lvl>
  </w:abstractNum>
  <w:abstractNum w:abstractNumId="27">
    <w:nsid w:val="5E884ADC"/>
    <w:multiLevelType w:val="hybridMultilevel"/>
    <w:lvl w:ilvl="0">
      <w:lvlJc w:val="left"/>
      <w:lvlText w:val="(%1)"/>
      <w:numFmt w:val="lowerLetter"/>
      <w:start w:val="5"/>
    </w:lvl>
    <w:lvl w:ilvl="1">
      <w:lvlJc w:val="left"/>
      <w:lvlText w:val="(%2)"/>
      <w:numFmt w:val="lowerRoman"/>
      <w:start w:val="2"/>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upperLetter"/>
      <w:start w:val="9"/>
    </w:lvl>
  </w:abstractNum>
  <w:abstractNum w:abstractNumId="30">
    <w:nsid w:val="580BD78F"/>
    <w:multiLevelType w:val="hybridMultilevel"/>
    <w:lvl w:ilvl="0">
      <w:lvlJc w:val="left"/>
      <w:lvlText w:val="(%1)"/>
      <w:numFmt w:val="upperLetter"/>
      <w:start w:val="35"/>
    </w:lvl>
  </w:abstractNum>
  <w:abstractNum w:abstractNumId="31">
    <w:nsid w:val="153EA438"/>
    <w:multiLevelType w:val="hybridMultilevel"/>
    <w:lvl w:ilvl="0">
      <w:lvlJc w:val="left"/>
      <w:lvlText w:val="(%1)"/>
      <w:numFmt w:val="upperLetter"/>
      <w:start w:val="22"/>
    </w:lvl>
  </w:abstractNum>
  <w:abstractNum w:abstractNumId="32">
    <w:nsid w:val="3855585C"/>
    <w:multiLevelType w:val="hybridMultilevel"/>
    <w:lvl w:ilvl="0">
      <w:lvlJc w:val="left"/>
      <w:lvlText w:val="(%1)"/>
      <w:numFmt w:val="lowerRoman"/>
      <w:start w:val="1"/>
    </w:lvl>
  </w:abstractNum>
  <w:abstractNum w:abstractNumId="33">
    <w:nsid w:val="70A64E2A"/>
    <w:multiLevelType w:val="hybridMultilevel"/>
    <w:lvl w:ilvl="0">
      <w:lvlJc w:val="left"/>
      <w:lvlText w:val="(%1)"/>
      <w:numFmt w:val="lowerRoman"/>
      <w:start w:val="3"/>
    </w:lvl>
    <w:lvl w:ilvl="1">
      <w:lvlJc w:val="left"/>
      <w:lvlText w:val="(%2)"/>
      <w:numFmt w:val="lowerLetter"/>
      <w:start w:val="25"/>
    </w:lvl>
  </w:abstractNum>
  <w:abstractNum w:abstractNumId="34">
    <w:nsid w:val="6A2342EC"/>
    <w:multiLevelType w:val="hybridMultilevel"/>
    <w:lvl w:ilvl="0">
      <w:lvlJc w:val="left"/>
      <w:lvlText w:val="%1"/>
      <w:numFmt w:val="lowerLetter"/>
      <w:start w:val="1"/>
    </w:lvl>
    <w:lvl w:ilvl="1">
      <w:lvlJc w:val="left"/>
      <w:lvlText w:val="(%2)"/>
      <w:numFmt w:val="lowerRoman"/>
      <w:start w:val="6"/>
    </w:lvl>
  </w:abstractNum>
  <w:abstractNum w:abstractNumId="35">
    <w:nsid w:val="2A487CB0"/>
    <w:multiLevelType w:val="hybridMultilevel"/>
    <w:lvl w:ilvl="0">
      <w:lvlJc w:val="left"/>
      <w:lvlText w:val="(%1)"/>
      <w:numFmt w:val="lowerLetter"/>
      <w:start w:val="4"/>
    </w:lvl>
    <w:lvl w:ilvl="1">
      <w:lvlJc w:val="left"/>
      <w:lvlText w:val="%2"/>
      <w:numFmt w:val="lowerRoman"/>
      <w:start w:val="1"/>
    </w:lvl>
  </w:abstractNum>
  <w:abstractNum w:abstractNumId="36">
    <w:nsid w:val="1D4ED43B"/>
    <w:multiLevelType w:val="hybridMultilevel"/>
    <w:lvl w:ilvl="0">
      <w:lvlJc w:val="left"/>
      <w:lvlText w:val="(%1)"/>
      <w:numFmt w:val="lowerLetter"/>
      <w:start w:val="6"/>
    </w:lvl>
  </w:abstractNum>
  <w:abstractNum w:abstractNumId="37">
    <w:nsid w:val="725A06FB"/>
    <w:multiLevelType w:val="hybridMultilevel"/>
    <w:lvl w:ilvl="0">
      <w:lvlJc w:val="left"/>
      <w:lvlText w:val="(%1)"/>
      <w:numFmt w:val="lowerLetter"/>
      <w:start w:val="7"/>
    </w:lvl>
    <w:lvl w:ilvl="1">
      <w:lvlJc w:val="left"/>
      <w:lvlText w:val="(%2)"/>
      <w:numFmt w:val="lowerRoman"/>
      <w:start w:val="1"/>
    </w:lvl>
  </w:abstractNum>
  <w:abstractNum w:abstractNumId="38">
    <w:nsid w:val="2CD89A32"/>
    <w:multiLevelType w:val="hybridMultilevel"/>
    <w:lvl w:ilvl="0">
      <w:lvlJc w:val="left"/>
      <w:lvlText w:val="(%1)"/>
      <w:numFmt w:val="lowerLetter"/>
      <w:start w:val="10"/>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4"/>
    </w:lvl>
  </w:abstractNum>
  <w:abstractNum w:abstractNumId="41">
    <w:nsid w:val="4B588F54"/>
    <w:multiLevelType w:val="hybridMultilevel"/>
    <w:lvl w:ilvl="0">
      <w:lvlJc w:val="left"/>
      <w:lvlText w:val="(%1)"/>
      <w:numFmt w:val="lowerLetter"/>
      <w:start w:val="1"/>
    </w:lvl>
    <w:lvl w:ilvl="1">
      <w:lvlJc w:val="left"/>
      <w:lvlText w:val="(%2)"/>
      <w:numFmt w:val="lowerRoman"/>
      <w:start w:val="1"/>
    </w:lvl>
  </w:abstractNum>
  <w:abstractNum w:abstractNumId="42">
    <w:nsid w:val="542289EC"/>
    <w:multiLevelType w:val="hybridMultilevel"/>
    <w:lvl w:ilvl="0">
      <w:lvlJc w:val="left"/>
      <w:lvlText w:val="%1"/>
      <w:numFmt w:val="lowerLetter"/>
      <w:start w:val="1"/>
    </w:lvl>
    <w:lvl w:ilvl="1">
      <w:lvlJc w:val="left"/>
      <w:lvlText w:val="(%2)"/>
      <w:numFmt w:val="lowerLetter"/>
      <w:start w:val="61"/>
    </w:lvl>
  </w:abstractNum>
  <w:abstractNum w:abstractNumId="43">
    <w:nsid w:val="6DE91B18"/>
    <w:multiLevelType w:val="hybridMultilevel"/>
    <w:lvl w:ilvl="0">
      <w:lvlJc w:val="left"/>
      <w:lvlText w:val="(%1)"/>
      <w:numFmt w:val="lowerLetter"/>
      <w:start w:val="5"/>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
      <w:numFmt w:val="bullet"/>
      <w:start w:val="1"/>
    </w:lvl>
  </w:abstractNum>
  <w:abstractNum w:abstractNumId="45">
    <w:nsid w:val="7644A45C"/>
    <w:multiLevelType w:val="hybridMultilevel"/>
    <w:lvl w:ilvl="0">
      <w:lvlJc w:val="left"/>
      <w:lvlText w:val="(%1)"/>
      <w:numFmt w:val="decimal"/>
      <w:start w:val="4"/>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59" Type="http://schemas.openxmlformats.org/officeDocument/2006/relationships/hyperlink" Target="https://www.sec.gov/Archives/edgar/data/1970622/000121390025025163/ea023473701ex2-4_usarare.htm" TargetMode="External"/><Relationship Id="rId60" Type="http://schemas.openxmlformats.org/officeDocument/2006/relationships/hyperlink" Target="https://www.sec.gov/Archives/edgar/data/1970622/000121390025025163/ea023473701ex2-5_usarare.htm" TargetMode="External"/><Relationship Id="rId61" Type="http://schemas.openxmlformats.org/officeDocument/2006/relationships/hyperlink" Target="https://www.sec.gov/Archives/edgar/data/1970622/000121390025025163/ea023473701ex3-1_usarare.htm" TargetMode="External"/><Relationship Id="rId62" Type="http://schemas.openxmlformats.org/officeDocument/2006/relationships/hyperlink" Target="https://www.sec.gov/Archives/edgar/data/1970622/000121390025025163/ea023473701ex3-2_usarare.htm" TargetMode="External"/><Relationship Id="rId63" Type="http://schemas.openxmlformats.org/officeDocument/2006/relationships/hyperlink" Target="https://www.sec.gov/Archives/edgar/data/1970622/000121390025025163/ea023473701ex3-3_usarare.htm" TargetMode="External"/><Relationship Id="rId64" Type="http://schemas.openxmlformats.org/officeDocument/2006/relationships/hyperlink" Target="https://www.sec.gov/Archives/edgar/data/1970622/000121390025025163/ea023473701ex3-4_usarare.htm" TargetMode="External"/><Relationship Id="rId65" Type="http://schemas.openxmlformats.org/officeDocument/2006/relationships/hyperlink" Target="https://www.sec.gov/Archives/edgar/data/1970622/000121390025039439/ea024084101ex3-2_usarare.htm" TargetMode="External"/><Relationship Id="rId66" Type="http://schemas.openxmlformats.org/officeDocument/2006/relationships/hyperlink" Target="https://www.sec.gov/Archives/edgar/data/1970622/000121390025025163/ea023473701ex4-4_usarare.htm" TargetMode="External"/><Relationship Id="rId67" Type="http://schemas.openxmlformats.org/officeDocument/2006/relationships/hyperlink" Target="https://www.sec.gov/Archives/edgar/data/1970622/000121390025039439/ea024084101ex4-5_usarare.htm" TargetMode="External"/><Relationship Id="rId68" Type="http://schemas.openxmlformats.org/officeDocument/2006/relationships/hyperlink" Target="https://www.sec.gov/Archives/edgar/data/1970622/000121390025026445/ea023622201ex10-1_usarare.htm" TargetMode="External"/><Relationship Id="rId69" Type="http://schemas.openxmlformats.org/officeDocument/2006/relationships/hyperlink" Target="http://www.sec.gov/ix?doc=/Archives/edgar/data/1787434/000121390025013377/ea0220524-06.htm#T806" TargetMode="External"/><Relationship Id="rId70" Type="http://schemas.openxmlformats.org/officeDocument/2006/relationships/hyperlink" Target="http://www.sec.gov/Archives/edgar/data/1787434/000121390025013377/ea0220524-06.htm#T888" TargetMode="External"/><Relationship Id="rId71" Type="http://schemas.openxmlformats.org/officeDocument/2006/relationships/hyperlink" Target="https://www.sec.gov/Archives/edgar/data/1970622/000121390025025163/ea023473701ex10-5_usarare.htm" TargetMode="External"/><Relationship Id="rId72" Type="http://schemas.openxmlformats.org/officeDocument/2006/relationships/hyperlink" Target="http://www.sec.gov/Archives/edgar/data/1787434/000121390025010175/ea022052404ex10-9_inflec2.htm" TargetMode="External"/><Relationship Id="rId73" Type="http://schemas.openxmlformats.org/officeDocument/2006/relationships/hyperlink" Target="http://www.sec.gov/Archives/edgar/data/1970622/000121390025007594/ea022902101ex10-1_inflec2.htm" TargetMode="External"/><Relationship Id="rId74" Type="http://schemas.openxmlformats.org/officeDocument/2006/relationships/hyperlink" Target="https://www.sec.gov/Archives/edgar/data/1970622/000121390025022829/ea023373201ex10-1_inflect2.htm" TargetMode="External"/><Relationship Id="rId75" Type="http://schemas.openxmlformats.org/officeDocument/2006/relationships/hyperlink" Target="https://www.sec.gov/Archives/edgar/data/1970622/000121390025025163/ea023473701ex10-32_usarare.htm" TargetMode="External"/><Relationship Id="rId76" Type="http://schemas.openxmlformats.org/officeDocument/2006/relationships/hyperlink" Target="https://www.sec.gov/Archives/edgar/data/1970622/000121390025024359/ea023456901ex10-1_usarare.htm" TargetMode="External"/><Relationship Id="rId77" Type="http://schemas.openxmlformats.org/officeDocument/2006/relationships/hyperlink" Target="https://www.sec.gov/Archives/edgar/data/1970622/000121390025024359/ea023456901ex10-2_usarare.htm" TargetMode="External"/><Relationship Id="rId78" Type="http://schemas.openxmlformats.org/officeDocument/2006/relationships/hyperlink" Target="https://www.sec.gov/Archives/edgar/data/1970622/000121390025025163/ea023473701ex10-35_usarare.htm" TargetMode="External"/><Relationship Id="rId79" Type="http://schemas.openxmlformats.org/officeDocument/2006/relationships/hyperlink" Target="https://www.sec.gov/Archives/edgar/data/1970622/000121390025025163/ea023473701ex10-36_usarare.htm" TargetMode="External"/><Relationship Id="rId80" Type="http://schemas.openxmlformats.org/officeDocument/2006/relationships/hyperlink" Target="https://www.sec.gov/Archives/edgar/data/1970622/000121390025025163/ea023473701ex10-37_usarare.htm" TargetMode="External"/><Relationship Id="rId81" Type="http://schemas.openxmlformats.org/officeDocument/2006/relationships/hyperlink" Target="https://www.sec.gov/Archives/edgar/data/1970622/000121390025026445/ea023622201ex10-38_usarare.htm" TargetMode="External"/><Relationship Id="rId82" Type="http://schemas.openxmlformats.org/officeDocument/2006/relationships/hyperlink" Target="https://www.sec.gov/Archives/edgar/data/1970622/000121390025025163/ea023473701ex10-39_usarare.htm" TargetMode="External"/><Relationship Id="rId83" Type="http://schemas.openxmlformats.org/officeDocument/2006/relationships/hyperlink" Target="https://www.sec.gov/Archives/edgar/data/1970622/000121390025025163/ea023473701ex10-40_usara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2025-05-15T08:09:58Z</dcterms:created>
  <dcterms:modified xsi:type="dcterms:W3CDTF">2025-05-15T08:09:58Z</dcterms:modified>
</cp:coreProperties>
</file>